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DFB0D" w14:textId="77777777" w:rsidR="00E23824" w:rsidRPr="003F1149"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r w:rsidR="0088725C">
        <w:rPr>
          <w:sz w:val="20"/>
          <w:lang w:val="en-GB"/>
        </w:rPr>
        <w:t xml:space="preserve"> </w:t>
      </w:r>
    </w:p>
    <w:p w14:paraId="09B4FE43" w14:textId="77777777" w:rsidR="00E23824" w:rsidRPr="003F1149" w:rsidRDefault="008365DC" w:rsidP="009D4A1D">
      <w:pPr>
        <w:spacing w:before="240"/>
        <w:jc w:val="center"/>
        <w:rPr>
          <w:b/>
          <w:sz w:val="28"/>
          <w:lang w:val="en-GB"/>
        </w:rPr>
      </w:pPr>
      <w:r>
        <w:rPr>
          <w:noProof/>
          <w:snapToGrid/>
        </w:rPr>
        <mc:AlternateContent>
          <mc:Choice Requires="wps">
            <w:drawing>
              <wp:anchor distT="0" distB="0" distL="114300" distR="114300" simplePos="0" relativeHeight="251657728" behindDoc="0" locked="0" layoutInCell="0" allowOverlap="1" wp14:anchorId="6F3169AE" wp14:editId="55B0368A">
                <wp:simplePos x="0" y="0"/>
                <wp:positionH relativeFrom="column">
                  <wp:posOffset>-19050</wp:posOffset>
                </wp:positionH>
                <wp:positionV relativeFrom="paragraph">
                  <wp:posOffset>47625</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3D5DE2"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75pt" to="46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yGAAIAAPI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" o:allowincell="f" strokecolor="#d4d4d4" strokeweight="1.75pt">
                <v:shadow on="t" origin="-.5,-.5" offset="0,-1pt"/>
              </v:line>
            </w:pict>
          </mc:Fallback>
        </mc:AlternateContent>
      </w:r>
      <w:r w:rsidR="00E23824" w:rsidRPr="003F1149">
        <w:rPr>
          <w:b/>
          <w:sz w:val="28"/>
          <w:lang w:val="en-GB"/>
        </w:rPr>
        <w:t xml:space="preserve">SUPPLY </w:t>
      </w:r>
      <w:r w:rsidR="008A6648">
        <w:rPr>
          <w:b/>
          <w:sz w:val="28"/>
          <w:lang w:val="en-GB"/>
        </w:rPr>
        <w:t>CONTRACT NOTICE</w:t>
      </w:r>
    </w:p>
    <w:p w14:paraId="7F8B1053" w14:textId="77777777" w:rsidR="00D319D8" w:rsidRPr="00731A02" w:rsidRDefault="00D319D8" w:rsidP="00D319D8">
      <w:pPr>
        <w:spacing w:after="240"/>
        <w:jc w:val="center"/>
        <w:rPr>
          <w:rStyle w:val="Strong"/>
          <w:szCs w:val="24"/>
          <w:lang w:val="en-GB"/>
        </w:rPr>
      </w:pPr>
      <w:r w:rsidRPr="00731A02">
        <w:rPr>
          <w:rStyle w:val="Strong"/>
          <w:szCs w:val="24"/>
          <w:lang w:val="en-GB"/>
        </w:rPr>
        <w:t xml:space="preserve">Purchase of </w:t>
      </w:r>
      <w:r w:rsidRPr="00CB1158">
        <w:rPr>
          <w:rStyle w:val="Strong"/>
          <w:szCs w:val="24"/>
          <w:lang w:val="en-GB"/>
        </w:rPr>
        <w:t>Simulator for training in welding</w:t>
      </w:r>
      <w:r>
        <w:rPr>
          <w:rStyle w:val="Strong"/>
          <w:szCs w:val="24"/>
          <w:lang w:val="en-GB"/>
        </w:rPr>
        <w:t xml:space="preserve"> </w:t>
      </w:r>
    </w:p>
    <w:p w14:paraId="14FE4501" w14:textId="77777777" w:rsidR="00D319D8" w:rsidRDefault="00D319D8" w:rsidP="00D319D8">
      <w:pPr>
        <w:spacing w:after="600"/>
        <w:jc w:val="center"/>
        <w:rPr>
          <w:rStyle w:val="Strong"/>
          <w:szCs w:val="24"/>
          <w:lang w:val="en-GB"/>
        </w:rPr>
      </w:pPr>
      <w:r w:rsidRPr="00731A02">
        <w:rPr>
          <w:rStyle w:val="Strong"/>
          <w:szCs w:val="24"/>
          <w:lang w:val="en-GB"/>
        </w:rPr>
        <w:t xml:space="preserve">Location – </w:t>
      </w:r>
      <w:r w:rsidRPr="00731A02">
        <w:rPr>
          <w:rStyle w:val="Emphasis"/>
          <w:b/>
          <w:i w:val="0"/>
          <w:szCs w:val="24"/>
          <w:lang w:val="en-GB"/>
        </w:rPr>
        <w:t>Republic of Serbia, Autonomous Province of Vojvodina</w:t>
      </w:r>
      <w:r>
        <w:rPr>
          <w:rStyle w:val="Emphasis"/>
          <w:b/>
          <w:i w:val="0"/>
          <w:szCs w:val="24"/>
          <w:lang w:val="en-GB"/>
        </w:rPr>
        <w:t>, Novi Sad</w:t>
      </w:r>
    </w:p>
    <w:p w14:paraId="79A9ECC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06EDC86B" w14:textId="77777777" w:rsidR="00EA36E6" w:rsidRDefault="00D319D8" w:rsidP="00AF3DC9">
      <w:pPr>
        <w:pStyle w:val="Blockquote"/>
        <w:tabs>
          <w:tab w:val="left" w:pos="709"/>
        </w:tabs>
        <w:ind w:left="709"/>
        <w:rPr>
          <w:sz w:val="22"/>
          <w:szCs w:val="22"/>
          <w:lang w:val="en-GB"/>
        </w:rPr>
      </w:pPr>
      <w:r w:rsidRPr="008E3B99">
        <w:rPr>
          <w:sz w:val="22"/>
          <w:szCs w:val="22"/>
          <w:lang w:val="en-GB"/>
        </w:rPr>
        <w:t>HUSRB/1602/41/0172-2/2018</w:t>
      </w:r>
    </w:p>
    <w:p w14:paraId="6B2E6BD6"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6EEBEF12" w14:textId="77777777" w:rsidR="00E23824" w:rsidRPr="003F1149" w:rsidRDefault="00D319D8" w:rsidP="00AF3DC9">
      <w:pPr>
        <w:pStyle w:val="Blockquote"/>
        <w:tabs>
          <w:tab w:val="left" w:pos="709"/>
        </w:tabs>
        <w:ind w:left="709"/>
        <w:rPr>
          <w:sz w:val="22"/>
          <w:szCs w:val="22"/>
          <w:lang w:val="en-GB"/>
        </w:rPr>
      </w:pPr>
      <w:r w:rsidRPr="004A4608">
        <w:rPr>
          <w:sz w:val="22"/>
          <w:szCs w:val="22"/>
          <w:lang w:val="en-GB"/>
        </w:rPr>
        <w:t>Simplified procedure</w:t>
      </w:r>
      <w:r>
        <w:rPr>
          <w:sz w:val="22"/>
          <w:szCs w:val="22"/>
          <w:lang w:val="en-GB"/>
        </w:rPr>
        <w:t xml:space="preserve"> </w:t>
      </w:r>
    </w:p>
    <w:p w14:paraId="6C3F68F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57AACD6E" w14:textId="77777777" w:rsidR="000E3C60" w:rsidRPr="00D319D8" w:rsidRDefault="00D319D8" w:rsidP="00D319D8">
      <w:pPr>
        <w:pStyle w:val="PRAGHeading2"/>
        <w:numPr>
          <w:ilvl w:val="0"/>
          <w:numId w:val="0"/>
        </w:numPr>
        <w:ind w:left="644"/>
        <w:jc w:val="both"/>
        <w:rPr>
          <w:sz w:val="22"/>
          <w:szCs w:val="22"/>
          <w:lang w:val="en-GB"/>
        </w:rPr>
      </w:pPr>
      <w:r w:rsidRPr="00D319D8">
        <w:rPr>
          <w:sz w:val="22"/>
          <w:szCs w:val="22"/>
        </w:rPr>
        <w:t xml:space="preserve">The Interreg – IPA Cross border Cooperation </w:t>
      </w:r>
      <w:proofErr w:type="spellStart"/>
      <w:r w:rsidRPr="00D319D8">
        <w:rPr>
          <w:sz w:val="22"/>
          <w:szCs w:val="22"/>
        </w:rPr>
        <w:t>Programme</w:t>
      </w:r>
      <w:proofErr w:type="spellEnd"/>
      <w:r w:rsidRPr="00D319D8">
        <w:rPr>
          <w:sz w:val="22"/>
          <w:szCs w:val="22"/>
        </w:rPr>
        <w:t xml:space="preserve"> Hungary – Serbia </w:t>
      </w:r>
      <w:proofErr w:type="spellStart"/>
      <w:r w:rsidRPr="00D319D8">
        <w:rPr>
          <w:sz w:val="22"/>
          <w:szCs w:val="22"/>
        </w:rPr>
        <w:t>Programme</w:t>
      </w:r>
      <w:proofErr w:type="spellEnd"/>
      <w:r w:rsidRPr="00D319D8">
        <w:rPr>
          <w:sz w:val="22"/>
          <w:szCs w:val="22"/>
        </w:rPr>
        <w:t xml:space="preserve"> (Interreg - IPA CBC Hungary- Serbia), </w:t>
      </w:r>
      <w:proofErr w:type="spellStart"/>
      <w:r w:rsidRPr="00D319D8">
        <w:rPr>
          <w:sz w:val="22"/>
          <w:szCs w:val="22"/>
        </w:rPr>
        <w:t>Programme</w:t>
      </w:r>
      <w:proofErr w:type="spellEnd"/>
      <w:r w:rsidRPr="00D319D8">
        <w:rPr>
          <w:sz w:val="22"/>
          <w:szCs w:val="22"/>
        </w:rPr>
        <w:t xml:space="preserve"> reference number CCI 2014TC16I5CB001 </w:t>
      </w:r>
    </w:p>
    <w:p w14:paraId="4E97DEFC"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33524436" w14:textId="77777777" w:rsidR="00E23824" w:rsidRPr="003F1149" w:rsidRDefault="00D319D8" w:rsidP="00AF3DC9">
      <w:pPr>
        <w:pStyle w:val="Blockquote"/>
        <w:tabs>
          <w:tab w:val="left" w:pos="709"/>
        </w:tabs>
        <w:ind w:left="709"/>
        <w:rPr>
          <w:sz w:val="22"/>
          <w:szCs w:val="22"/>
          <w:lang w:val="en-GB"/>
        </w:rPr>
      </w:pPr>
      <w:r w:rsidRPr="00D319D8">
        <w:rPr>
          <w:sz w:val="22"/>
          <w:szCs w:val="22"/>
          <w:lang w:val="en-GB"/>
        </w:rPr>
        <w:t>Financing agreement between Republic of Serbia and European Commission for the Interreg – IPA CBC Hungary- Serbia Programme</w:t>
      </w:r>
      <w:r>
        <w:rPr>
          <w:sz w:val="22"/>
          <w:szCs w:val="22"/>
          <w:lang w:val="en-GB"/>
        </w:rPr>
        <w:t xml:space="preserve"> </w:t>
      </w:r>
    </w:p>
    <w:p w14:paraId="760F9D36"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500F1967" w14:textId="77777777" w:rsidR="00A506DB" w:rsidRDefault="00D319D8" w:rsidP="00AC2A69">
      <w:pPr>
        <w:tabs>
          <w:tab w:val="left" w:pos="1134"/>
        </w:tabs>
        <w:snapToGrid w:val="0"/>
        <w:spacing w:after="480"/>
        <w:ind w:left="709"/>
        <w:rPr>
          <w:rStyle w:val="Emphasis"/>
          <w:i w:val="0"/>
          <w:sz w:val="22"/>
          <w:szCs w:val="22"/>
          <w:lang w:val="en-GB"/>
        </w:rPr>
      </w:pPr>
      <w:r w:rsidRPr="00D319D8">
        <w:rPr>
          <w:sz w:val="22"/>
          <w:szCs w:val="22"/>
        </w:rPr>
        <w:t>Educational Training Centre for Professional and Working Skills</w:t>
      </w:r>
      <w:r>
        <w:rPr>
          <w:sz w:val="22"/>
          <w:szCs w:val="22"/>
        </w:rPr>
        <w:t xml:space="preserve">, Republic of Serbia </w:t>
      </w:r>
    </w:p>
    <w:p w14:paraId="6E4E56C3"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4E636895" w14:textId="77777777" w:rsidR="00E23824" w:rsidRPr="00A336A0" w:rsidRDefault="008365DC"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rPr>
        <mc:AlternateContent>
          <mc:Choice Requires="wps">
            <w:drawing>
              <wp:anchor distT="0" distB="0" distL="114300" distR="114300" simplePos="0" relativeHeight="251658752" behindDoc="0" locked="0" layoutInCell="0" allowOverlap="1" wp14:anchorId="64292F90" wp14:editId="1B128294">
                <wp:simplePos x="0" y="0"/>
                <wp:positionH relativeFrom="column">
                  <wp:posOffset>142875</wp:posOffset>
                </wp:positionH>
                <wp:positionV relativeFrom="paragraph">
                  <wp:posOffset>-374015</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F6C5C"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29.45pt" to="479.2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BkvAQIAAPI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" o:allowincell="f" strokecolor="#d4d4d4" strokeweight="1.75pt">
                <v:shadow on="t" origin="-.5,-.5" offset="0,-1pt"/>
              </v:line>
            </w:pict>
          </mc:Fallback>
        </mc:AlternateContent>
      </w:r>
      <w:r w:rsidR="00E23824" w:rsidRPr="00A336A0">
        <w:rPr>
          <w:rStyle w:val="Strong"/>
          <w:szCs w:val="24"/>
          <w:lang w:val="en-GB"/>
        </w:rPr>
        <w:t xml:space="preserve">Description of the contract </w:t>
      </w:r>
    </w:p>
    <w:p w14:paraId="56AFEBC7" w14:textId="77777777" w:rsidR="00E23824" w:rsidRPr="003F1149" w:rsidRDefault="00D319D8" w:rsidP="00D319D8">
      <w:pPr>
        <w:pStyle w:val="Blockquote"/>
        <w:ind w:left="709"/>
        <w:jc w:val="both"/>
        <w:rPr>
          <w:sz w:val="22"/>
          <w:szCs w:val="22"/>
          <w:lang w:val="en-GB"/>
        </w:rPr>
      </w:pPr>
      <w:r w:rsidRPr="00D319D8">
        <w:rPr>
          <w:sz w:val="22"/>
          <w:szCs w:val="22"/>
          <w:lang w:val="en-GB"/>
        </w:rPr>
        <w:t>The subject of the contract is the supply, delivery, unloading, installation, commissioning and testing by the contractor of Simulator for training in welding, with training of users</w:t>
      </w:r>
      <w:r>
        <w:rPr>
          <w:sz w:val="22"/>
          <w:szCs w:val="22"/>
          <w:lang w:val="en-GB"/>
        </w:rPr>
        <w:t xml:space="preserve">. </w:t>
      </w:r>
    </w:p>
    <w:p w14:paraId="35F50E5B"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15348377" w14:textId="77777777" w:rsidR="00FC0F2D" w:rsidRDefault="00FC0F2D" w:rsidP="00FC0F2D">
      <w:pPr>
        <w:pStyle w:val="Blockquote"/>
        <w:ind w:left="709"/>
        <w:jc w:val="both"/>
        <w:rPr>
          <w:rStyle w:val="Emphasis"/>
          <w:i w:val="0"/>
          <w:sz w:val="22"/>
          <w:szCs w:val="22"/>
          <w:lang w:val="en-GB"/>
        </w:rPr>
      </w:pPr>
      <w:r w:rsidRPr="00D319D8">
        <w:rPr>
          <w:rStyle w:val="Emphasis"/>
          <w:i w:val="0"/>
          <w:sz w:val="22"/>
          <w:szCs w:val="22"/>
          <w:lang w:val="en-GB"/>
        </w:rPr>
        <w:t>One lot only</w:t>
      </w:r>
    </w:p>
    <w:p w14:paraId="1AA42DDF" w14:textId="77777777" w:rsidR="00E23824" w:rsidRPr="003F1149" w:rsidRDefault="008365DC" w:rsidP="0088725C">
      <w:pPr>
        <w:pStyle w:val="Blockquote"/>
        <w:spacing w:before="400"/>
        <w:ind w:left="357" w:right="0"/>
        <w:jc w:val="center"/>
        <w:rPr>
          <w:rStyle w:val="Strong"/>
          <w:sz w:val="28"/>
          <w:szCs w:val="28"/>
          <w:lang w:val="en-GB"/>
        </w:rPr>
      </w:pPr>
      <w:r>
        <w:rPr>
          <w:b/>
          <w:noProof/>
          <w:snapToGrid/>
          <w:sz w:val="28"/>
          <w:szCs w:val="28"/>
        </w:rPr>
        <mc:AlternateContent>
          <mc:Choice Requires="wps">
            <w:drawing>
              <wp:anchor distT="0" distB="0" distL="114300" distR="114300" simplePos="0" relativeHeight="251659776" behindDoc="0" locked="0" layoutInCell="0" allowOverlap="1" wp14:anchorId="30282462" wp14:editId="0F089B6C">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4E43B"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4IdAAIAAPI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" o:allowincell="f" strokecolor="#d4d4d4" strokeweight="1.75pt">
                <v:shadow on="t" origin="-.5,-.5" offset="0,-1pt"/>
              </v:line>
            </w:pict>
          </mc:Fallback>
        </mc:AlternateContent>
      </w:r>
      <w:r w:rsidR="00E23824" w:rsidRPr="003F1149">
        <w:rPr>
          <w:rStyle w:val="Strong"/>
          <w:sz w:val="28"/>
          <w:szCs w:val="28"/>
          <w:lang w:val="en-GB"/>
        </w:rPr>
        <w:t>TERMS OF PARTICIPATION</w:t>
      </w:r>
    </w:p>
    <w:p w14:paraId="27807BFC"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07214054" w14:textId="77777777" w:rsidR="00544ABD" w:rsidRPr="00D319D8" w:rsidRDefault="00394974" w:rsidP="00AC2A69">
      <w:pPr>
        <w:widowControl/>
        <w:spacing w:before="360" w:after="360"/>
        <w:ind w:left="709" w:right="1"/>
        <w:jc w:val="both"/>
        <w:rPr>
          <w:sz w:val="22"/>
          <w:szCs w:val="22"/>
          <w:lang w:val="en-GB"/>
        </w:rPr>
      </w:pPr>
      <w:r w:rsidRPr="00D319D8">
        <w:rPr>
          <w:sz w:val="22"/>
          <w:szCs w:val="22"/>
          <w:lang w:val="en-GB"/>
        </w:rPr>
        <w:t xml:space="preserve">Participation is open to all </w:t>
      </w:r>
      <w:r w:rsidRPr="00D319D8">
        <w:rPr>
          <w:rFonts w:eastAsia="Calibri" w:cs="Arial"/>
          <w:sz w:val="22"/>
          <w:szCs w:val="22"/>
        </w:rPr>
        <w:t xml:space="preserve">natural persons who are nationals of and </w:t>
      </w:r>
      <w:r w:rsidRPr="00D319D8">
        <w:rPr>
          <w:sz w:val="22"/>
          <w:szCs w:val="22"/>
          <w:lang w:val="en-GB"/>
        </w:rPr>
        <w:t xml:space="preserve">legal persons </w:t>
      </w:r>
      <w:r w:rsidR="00FC0F2D" w:rsidRPr="00D319D8">
        <w:rPr>
          <w:sz w:val="22"/>
          <w:szCs w:val="22"/>
          <w:lang w:val="en-GB"/>
        </w:rPr>
        <w:t>(</w:t>
      </w:r>
      <w:r w:rsidRPr="00D319D8">
        <w:rPr>
          <w:sz w:val="22"/>
          <w:szCs w:val="22"/>
          <w:lang w:val="en-GB"/>
        </w:rPr>
        <w:t xml:space="preserve">participating either individually or in a grouping </w:t>
      </w:r>
      <w:r w:rsidR="00FC0F2D" w:rsidRPr="00D319D8">
        <w:rPr>
          <w:sz w:val="22"/>
          <w:szCs w:val="22"/>
          <w:lang w:val="en-GB"/>
        </w:rPr>
        <w:t xml:space="preserve">– </w:t>
      </w:r>
      <w:r w:rsidRPr="00D319D8">
        <w:rPr>
          <w:sz w:val="22"/>
          <w:szCs w:val="22"/>
          <w:lang w:val="en-GB"/>
        </w:rPr>
        <w:t>consortium</w:t>
      </w:r>
      <w:r w:rsidR="00FC0F2D" w:rsidRPr="00D319D8">
        <w:rPr>
          <w:sz w:val="22"/>
          <w:szCs w:val="22"/>
          <w:lang w:val="en-GB"/>
        </w:rPr>
        <w:t xml:space="preserve"> </w:t>
      </w:r>
      <w:r w:rsidR="00216908" w:rsidRPr="00D319D8">
        <w:rPr>
          <w:sz w:val="22"/>
          <w:szCs w:val="22"/>
          <w:lang w:val="en-GB"/>
        </w:rPr>
        <w:t>–</w:t>
      </w:r>
      <w:r w:rsidRPr="00D319D8">
        <w:rPr>
          <w:sz w:val="22"/>
          <w:szCs w:val="22"/>
          <w:lang w:val="en-GB"/>
        </w:rPr>
        <w:t xml:space="preserve"> of tenderers</w:t>
      </w:r>
      <w:r w:rsidR="00FC0F2D" w:rsidRPr="00D319D8">
        <w:rPr>
          <w:sz w:val="22"/>
          <w:szCs w:val="22"/>
          <w:lang w:val="en-GB"/>
        </w:rPr>
        <w:t>)</w:t>
      </w:r>
      <w:r w:rsidRPr="00D319D8">
        <w:rPr>
          <w:sz w:val="22"/>
          <w:szCs w:val="22"/>
          <w:lang w:val="en-GB"/>
        </w:rPr>
        <w:t xml:space="preserve"> which are effectively established in a  Member State of the European Union or in a eligible country or territory  as define</w:t>
      </w:r>
      <w:r w:rsidR="009352FB" w:rsidRPr="00D319D8">
        <w:rPr>
          <w:sz w:val="22"/>
          <w:szCs w:val="22"/>
          <w:lang w:val="en-GB"/>
        </w:rPr>
        <w:t>d</w:t>
      </w:r>
      <w:r w:rsidRPr="00D319D8">
        <w:rPr>
          <w:sz w:val="22"/>
          <w:szCs w:val="22"/>
          <w:lang w:val="en-GB"/>
        </w:rPr>
        <w:t xml:space="preserve"> under </w:t>
      </w:r>
      <w:r w:rsidRPr="00D319D8">
        <w:rPr>
          <w:rFonts w:eastAsia="Calibri" w:cs="Arial"/>
          <w:bCs/>
          <w:snapToGrid/>
          <w:sz w:val="22"/>
          <w:szCs w:val="22"/>
        </w:rPr>
        <w:t xml:space="preserve">the Regulation </w:t>
      </w:r>
      <w:r w:rsidR="005D1F25" w:rsidRPr="00D319D8">
        <w:rPr>
          <w:sz w:val="22"/>
          <w:szCs w:val="22"/>
          <w:lang w:val="en-GB"/>
        </w:rPr>
        <w:t xml:space="preserve">(EU) </w:t>
      </w:r>
      <w:r w:rsidR="00A62F09" w:rsidRPr="00D319D8">
        <w:rPr>
          <w:sz w:val="22"/>
          <w:szCs w:val="22"/>
          <w:lang w:val="en-GB"/>
        </w:rPr>
        <w:t>No </w:t>
      </w:r>
      <w:r w:rsidR="005D1F25" w:rsidRPr="00D319D8">
        <w:rPr>
          <w:rFonts w:eastAsia="MS Mincho"/>
          <w:noProof/>
          <w:sz w:val="22"/>
          <w:szCs w:val="22"/>
          <w:lang w:val="en-GB" w:eastAsia="ja-JP"/>
        </w:rPr>
        <w:t xml:space="preserve">236/2014 </w:t>
      </w:r>
      <w:r w:rsidRPr="00D319D8">
        <w:rPr>
          <w:rFonts w:eastAsia="Calibri" w:cs="Arial"/>
          <w:bCs/>
          <w:snapToGrid/>
          <w:sz w:val="22"/>
          <w:szCs w:val="22"/>
        </w:rPr>
        <w:t xml:space="preserve">establishing common rules and procedures for the implementation of the Union's instruments for external action (CIR) </w:t>
      </w:r>
      <w:r w:rsidRPr="00D319D8">
        <w:rPr>
          <w:sz w:val="22"/>
          <w:szCs w:val="22"/>
          <w:lang w:val="en-GB"/>
        </w:rPr>
        <w:t xml:space="preserve">for the applicable </w:t>
      </w:r>
      <w:r w:rsidR="00216908" w:rsidRPr="00D319D8">
        <w:rPr>
          <w:sz w:val="22"/>
          <w:szCs w:val="22"/>
          <w:lang w:val="en-GB"/>
        </w:rPr>
        <w:t>i</w:t>
      </w:r>
      <w:r w:rsidRPr="00D319D8">
        <w:rPr>
          <w:sz w:val="22"/>
          <w:szCs w:val="22"/>
          <w:lang w:val="en-GB"/>
        </w:rPr>
        <w:t>nstrument under which the contract is financed (see also heading 22 below)</w:t>
      </w:r>
      <w:r w:rsidRPr="00D319D8">
        <w:rPr>
          <w:rFonts w:eastAsia="Calibri" w:cs="Arial"/>
          <w:sz w:val="22"/>
          <w:szCs w:val="22"/>
        </w:rPr>
        <w:t xml:space="preserve">. </w:t>
      </w:r>
      <w:r w:rsidRPr="00D319D8">
        <w:rPr>
          <w:sz w:val="22"/>
          <w:szCs w:val="22"/>
          <w:lang w:val="en-GB"/>
        </w:rPr>
        <w:t>Participation is also open to international organisations.</w:t>
      </w:r>
      <w:bookmarkStart w:id="0" w:name="_DV_M201"/>
      <w:bookmarkEnd w:id="0"/>
    </w:p>
    <w:p w14:paraId="21AD7876" w14:textId="77777777" w:rsidR="00544ABD" w:rsidRPr="00B3128F" w:rsidRDefault="00544ABD" w:rsidP="00AC2A69">
      <w:pPr>
        <w:widowControl/>
        <w:spacing w:before="0" w:after="360"/>
        <w:ind w:left="709" w:right="1"/>
        <w:jc w:val="both"/>
        <w:rPr>
          <w:rFonts w:eastAsia="Calibri" w:cs="Arial"/>
          <w:noProof/>
          <w:sz w:val="22"/>
          <w:szCs w:val="22"/>
        </w:rPr>
      </w:pPr>
      <w:r w:rsidRPr="00D319D8">
        <w:rPr>
          <w:sz w:val="22"/>
          <w:szCs w:val="22"/>
          <w:lang w:val="en-GB"/>
        </w:rPr>
        <w:t xml:space="preserve">All supplies under this contract may </w:t>
      </w:r>
      <w:r w:rsidR="00AC2A69" w:rsidRPr="00D319D8">
        <w:rPr>
          <w:rFonts w:eastAsia="Calibri" w:cs="Arial"/>
          <w:noProof/>
          <w:sz w:val="22"/>
          <w:szCs w:val="22"/>
        </w:rPr>
        <w:t>originate from any country.</w:t>
      </w:r>
    </w:p>
    <w:p w14:paraId="16F30536"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041BA0E4"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lastRenderedPageBreak/>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32F80E1D"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14:paraId="71424CB8"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1786150C" w14:textId="77777777" w:rsidR="00351122" w:rsidRDefault="00351122" w:rsidP="003319C5">
      <w:pPr>
        <w:widowControl/>
        <w:snapToGrid w:val="0"/>
        <w:ind w:left="644" w:right="26"/>
        <w:jc w:val="both"/>
        <w:rPr>
          <w:sz w:val="22"/>
          <w:szCs w:val="22"/>
          <w:lang w:val="en-GB"/>
        </w:rPr>
      </w:pPr>
      <w:r w:rsidRPr="003F1149">
        <w:rPr>
          <w:sz w:val="22"/>
          <w:szCs w:val="22"/>
          <w:lang w:val="en-GB"/>
        </w:rPr>
        <w:t xml:space="preserve">Tenders for parts of a lot will not be considered. </w:t>
      </w:r>
      <w:r w:rsidRPr="00D35165">
        <w:rPr>
          <w:sz w:val="22"/>
          <w:szCs w:val="22"/>
          <w:lang w:val="en-GB"/>
        </w:rPr>
        <w:t xml:space="preserve">Tenderers </w:t>
      </w:r>
      <w:r w:rsidRPr="00B3128F">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14:paraId="0DE23DE9" w14:textId="77777777" w:rsidR="00E23824" w:rsidRPr="003319C5" w:rsidRDefault="00E23824" w:rsidP="003319C5">
      <w:pPr>
        <w:widowControl/>
        <w:snapToGrid w:val="0"/>
        <w:ind w:left="644"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3B6DD13C"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7F00D079" w14:textId="77777777" w:rsidR="00DC2049" w:rsidRPr="00D319D8" w:rsidRDefault="0007206C" w:rsidP="00AC2A69">
      <w:pPr>
        <w:pStyle w:val="Blockquote"/>
        <w:ind w:left="709" w:right="1"/>
        <w:jc w:val="both"/>
        <w:rPr>
          <w:sz w:val="22"/>
          <w:szCs w:val="22"/>
          <w:lang w:val="en-GB"/>
        </w:rPr>
      </w:pPr>
      <w:r w:rsidRPr="00D319D8">
        <w:rPr>
          <w:sz w:val="22"/>
          <w:szCs w:val="22"/>
        </w:rPr>
        <w:t>No tender guarantee is required.</w:t>
      </w:r>
    </w:p>
    <w:p w14:paraId="5D4A9E74"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14:paraId="12ADA295" w14:textId="77777777" w:rsidR="00505A18" w:rsidRPr="006B31D5" w:rsidRDefault="00A771F3" w:rsidP="00AC2A69">
      <w:pPr>
        <w:spacing w:before="0" w:after="120"/>
        <w:ind w:left="709" w:right="1"/>
        <w:jc w:val="both"/>
        <w:rPr>
          <w:color w:val="000000"/>
          <w:sz w:val="22"/>
          <w:szCs w:val="22"/>
          <w:lang w:val="en-GB"/>
        </w:rPr>
      </w:pPr>
      <w:r w:rsidRPr="00F7615E">
        <w:rPr>
          <w:color w:val="000000"/>
          <w:sz w:val="22"/>
          <w:szCs w:val="22"/>
        </w:rPr>
        <w:t>No performance guarantee is required.</w:t>
      </w:r>
      <w:r w:rsidR="0043250C" w:rsidRPr="00F7615E">
        <w:rPr>
          <w:color w:val="000000"/>
          <w:sz w:val="22"/>
          <w:szCs w:val="22"/>
          <w:lang w:val="en-GB"/>
        </w:rPr>
        <w:t xml:space="preserve"> </w:t>
      </w:r>
      <w:r w:rsidR="00D319D8">
        <w:rPr>
          <w:color w:val="000000"/>
          <w:sz w:val="22"/>
          <w:szCs w:val="22"/>
          <w:lang w:val="en-GB"/>
        </w:rPr>
        <w:t xml:space="preserve"> </w:t>
      </w:r>
    </w:p>
    <w:p w14:paraId="2A42EAD3"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64375912" w14:textId="77777777" w:rsidR="00E23824" w:rsidRPr="002116E1" w:rsidRDefault="00E23824" w:rsidP="00AF3DC9">
      <w:pPr>
        <w:pStyle w:val="Blockquote"/>
        <w:ind w:left="709"/>
        <w:rPr>
          <w:sz w:val="22"/>
          <w:szCs w:val="22"/>
          <w:lang w:val="en-GB"/>
        </w:rPr>
      </w:pPr>
      <w:r w:rsidRPr="00D319D8">
        <w:rPr>
          <w:sz w:val="22"/>
          <w:szCs w:val="22"/>
          <w:lang w:val="en-GB"/>
        </w:rPr>
        <w:t>No information meeting is planned</w:t>
      </w:r>
      <w:r w:rsidR="00D319D8" w:rsidRPr="00D319D8">
        <w:rPr>
          <w:sz w:val="22"/>
          <w:szCs w:val="22"/>
          <w:lang w:val="en-GB"/>
        </w:rPr>
        <w:t>.</w:t>
      </w:r>
      <w:r w:rsidR="00D319D8">
        <w:rPr>
          <w:sz w:val="22"/>
          <w:szCs w:val="22"/>
          <w:lang w:val="en-GB"/>
        </w:rPr>
        <w:t xml:space="preserve"> </w:t>
      </w:r>
    </w:p>
    <w:p w14:paraId="3A60FF20"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36284492"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41DB55A1"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1670CAFF" w14:textId="77777777" w:rsidR="00E23824" w:rsidRPr="003F1149" w:rsidRDefault="00D319D8" w:rsidP="00AC2A69">
      <w:pPr>
        <w:pStyle w:val="Blockquote"/>
        <w:ind w:left="709" w:right="1"/>
        <w:jc w:val="both"/>
        <w:rPr>
          <w:sz w:val="22"/>
          <w:szCs w:val="22"/>
          <w:lang w:val="en-GB"/>
        </w:rPr>
      </w:pPr>
      <w:r w:rsidRPr="00D319D8">
        <w:rPr>
          <w:sz w:val="22"/>
          <w:szCs w:val="22"/>
          <w:lang w:val="en-GB"/>
        </w:rPr>
        <w:t>The period of implementation of the tasks shall be 45 days from the conclusion of the Contract until the provisional acceptance</w:t>
      </w:r>
      <w:r>
        <w:rPr>
          <w:sz w:val="22"/>
          <w:szCs w:val="22"/>
          <w:lang w:val="en-GB"/>
        </w:rPr>
        <w:t xml:space="preserve">. </w:t>
      </w:r>
    </w:p>
    <w:p w14:paraId="00285362" w14:textId="77777777" w:rsidR="00E23824" w:rsidRPr="003F1149" w:rsidRDefault="008365DC">
      <w:pPr>
        <w:rPr>
          <w:lang w:val="en-GB"/>
        </w:rPr>
      </w:pPr>
      <w:r>
        <w:rPr>
          <w:noProof/>
          <w:snapToGrid/>
        </w:rPr>
        <mc:AlternateContent>
          <mc:Choice Requires="wps">
            <w:drawing>
              <wp:anchor distT="0" distB="0" distL="114300" distR="114300" simplePos="0" relativeHeight="251655680" behindDoc="0" locked="0" layoutInCell="0" allowOverlap="1" wp14:anchorId="583F2D37" wp14:editId="0AB66C8D">
                <wp:simplePos x="0" y="0"/>
                <wp:positionH relativeFrom="column">
                  <wp:posOffset>0</wp:posOffset>
                </wp:positionH>
                <wp:positionV relativeFrom="paragraph">
                  <wp:posOffset>259715</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FFCAE"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" o:allowincell="f" strokecolor="#d4d4d4" strokeweight="1.75pt">
                <v:shadow on="t" origin="-.5,-.5" offset="0,-1pt"/>
              </v:line>
            </w:pict>
          </mc:Fallback>
        </mc:AlternateContent>
      </w:r>
    </w:p>
    <w:p w14:paraId="261399AA" w14:textId="77777777" w:rsidR="00E23824" w:rsidRPr="003F1149" w:rsidRDefault="00E23824" w:rsidP="009D4A1D">
      <w:pPr>
        <w:spacing w:before="240"/>
        <w:ind w:left="360"/>
        <w:jc w:val="center"/>
        <w:rPr>
          <w:rStyle w:val="Strong"/>
          <w:sz w:val="28"/>
          <w:szCs w:val="28"/>
          <w:lang w:val="en-GB"/>
        </w:rPr>
      </w:pPr>
      <w:r w:rsidRPr="003F1149">
        <w:rPr>
          <w:rStyle w:val="Strong"/>
          <w:sz w:val="28"/>
          <w:szCs w:val="28"/>
          <w:lang w:val="en-GB"/>
        </w:rPr>
        <w:t>SELECTION AND AWARD CRITERIA</w:t>
      </w:r>
    </w:p>
    <w:p w14:paraId="58FAD80A"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2A3ED239"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47139F56"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14:paraId="56D47CC9" w14:textId="77777777" w:rsidR="00DD16D0" w:rsidRPr="006E55DB" w:rsidRDefault="00DD16D0" w:rsidP="00AC2A69">
      <w:pPr>
        <w:ind w:left="414" w:firstLine="720"/>
        <w:rPr>
          <w:sz w:val="22"/>
          <w:szCs w:val="22"/>
        </w:rPr>
      </w:pPr>
      <w:r w:rsidRPr="006E55DB">
        <w:rPr>
          <w:sz w:val="22"/>
          <w:szCs w:val="22"/>
        </w:rPr>
        <w:t>The selection criteria for each tenderer are as follows:</w:t>
      </w:r>
      <w:r w:rsidR="00D319D8" w:rsidRPr="006E55DB">
        <w:rPr>
          <w:sz w:val="22"/>
          <w:szCs w:val="22"/>
        </w:rPr>
        <w:t xml:space="preserve"> </w:t>
      </w:r>
    </w:p>
    <w:p w14:paraId="30C3FCFE" w14:textId="77777777" w:rsidR="00973479" w:rsidRPr="006E55DB" w:rsidRDefault="006E55DB" w:rsidP="006E55DB">
      <w:pPr>
        <w:ind w:left="1080"/>
        <w:jc w:val="both"/>
        <w:rPr>
          <w:sz w:val="22"/>
          <w:szCs w:val="22"/>
          <w:lang w:val="en-GB"/>
        </w:rPr>
      </w:pPr>
      <w:r w:rsidRPr="006E55DB">
        <w:rPr>
          <w:sz w:val="22"/>
          <w:szCs w:val="22"/>
        </w:rPr>
        <w:t>The average annual turnover of the tenderer in the last 3 years before the tender submission expiry date shall be minimum as the price stated in the bid.</w:t>
      </w:r>
      <w:r>
        <w:rPr>
          <w:sz w:val="22"/>
          <w:szCs w:val="22"/>
        </w:rPr>
        <w:t xml:space="preserve"> </w:t>
      </w:r>
      <w:r w:rsidRPr="006E55DB">
        <w:rPr>
          <w:sz w:val="22"/>
          <w:szCs w:val="22"/>
        </w:rPr>
        <w:t xml:space="preserve">  </w:t>
      </w:r>
    </w:p>
    <w:p w14:paraId="69CD6B2C" w14:textId="77777777" w:rsidR="005B13FB"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7A7E50" w:rsidRPr="003B06D5">
        <w:rPr>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r w:rsidR="00D319D8">
        <w:rPr>
          <w:sz w:val="22"/>
          <w:szCs w:val="22"/>
          <w:lang w:val="en-GB"/>
        </w:rPr>
        <w:t xml:space="preserve"> </w:t>
      </w:r>
    </w:p>
    <w:p w14:paraId="08955B18" w14:textId="77777777" w:rsidR="00D319D8" w:rsidRPr="00021ECF" w:rsidRDefault="00D319D8" w:rsidP="00AC2A69">
      <w:pPr>
        <w:pStyle w:val="Blockquote"/>
        <w:ind w:left="1134" w:right="1" w:hanging="284"/>
        <w:jc w:val="both"/>
        <w:rPr>
          <w:sz w:val="22"/>
          <w:szCs w:val="22"/>
          <w:lang w:val="en-GB"/>
        </w:rPr>
      </w:pPr>
      <w:r w:rsidRPr="00777639">
        <w:rPr>
          <w:sz w:val="22"/>
          <w:szCs w:val="22"/>
        </w:rPr>
        <w:t>The Bidder shall have a minimum of two persons trained to install simulator</w:t>
      </w:r>
      <w:r>
        <w:rPr>
          <w:sz w:val="22"/>
          <w:szCs w:val="22"/>
        </w:rPr>
        <w:t xml:space="preserve">. </w:t>
      </w:r>
    </w:p>
    <w:p w14:paraId="64D44E9B" w14:textId="77777777" w:rsidR="005B13FB" w:rsidRPr="006E55DB"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w:t>
      </w:r>
      <w:r w:rsidR="005B13FB" w:rsidRPr="006E55DB">
        <w:rPr>
          <w:sz w:val="22"/>
          <w:szCs w:val="22"/>
          <w:lang w:val="en-GB"/>
        </w:rPr>
        <w:t xml:space="preserve">capacity of </w:t>
      </w:r>
      <w:r w:rsidR="00FF0FFC" w:rsidRPr="006E55DB">
        <w:rPr>
          <w:sz w:val="22"/>
          <w:szCs w:val="22"/>
          <w:lang w:val="en-GB"/>
        </w:rPr>
        <w:t>tenderer</w:t>
      </w:r>
      <w:r w:rsidR="005B13FB" w:rsidRPr="006E55DB">
        <w:rPr>
          <w:sz w:val="22"/>
          <w:szCs w:val="22"/>
          <w:lang w:val="en-GB"/>
        </w:rPr>
        <w:t xml:space="preserve"> </w:t>
      </w:r>
      <w:r w:rsidR="00021ECF" w:rsidRPr="006E55DB">
        <w:rPr>
          <w:i/>
          <w:sz w:val="22"/>
          <w:szCs w:val="22"/>
          <w:lang w:val="en-GB"/>
        </w:rPr>
        <w:t>(</w:t>
      </w:r>
      <w:r w:rsidR="005B13FB" w:rsidRPr="006E55DB">
        <w:rPr>
          <w:sz w:val="22"/>
          <w:szCs w:val="22"/>
          <w:lang w:val="en-GB"/>
        </w:rPr>
        <w:t xml:space="preserve">based on </w:t>
      </w:r>
      <w:proofErr w:type="spellStart"/>
      <w:r w:rsidR="00FF0FFC" w:rsidRPr="006E55DB">
        <w:rPr>
          <w:sz w:val="22"/>
          <w:szCs w:val="22"/>
          <w:lang w:val="en-GB"/>
        </w:rPr>
        <w:t>i.a.</w:t>
      </w:r>
      <w:proofErr w:type="spellEnd"/>
      <w:r w:rsidR="00FF0FFC" w:rsidRPr="006E55DB">
        <w:rPr>
          <w:sz w:val="22"/>
          <w:szCs w:val="22"/>
          <w:lang w:val="en-GB"/>
        </w:rPr>
        <w:t xml:space="preserve"> </w:t>
      </w:r>
      <w:r w:rsidR="005B13FB" w:rsidRPr="006E55DB">
        <w:rPr>
          <w:sz w:val="22"/>
          <w:szCs w:val="22"/>
          <w:lang w:val="en-GB"/>
        </w:rPr>
        <w:t xml:space="preserve">items 5 and 6 of the </w:t>
      </w:r>
      <w:r w:rsidR="00986590" w:rsidRPr="006E55DB">
        <w:rPr>
          <w:sz w:val="22"/>
          <w:szCs w:val="22"/>
          <w:lang w:val="en-GB"/>
        </w:rPr>
        <w:t>t</w:t>
      </w:r>
      <w:r w:rsidR="00FF0FFC" w:rsidRPr="006E55DB">
        <w:rPr>
          <w:sz w:val="22"/>
          <w:szCs w:val="22"/>
          <w:lang w:val="en-GB"/>
        </w:rPr>
        <w:t xml:space="preserve">ender </w:t>
      </w:r>
      <w:r w:rsidR="00986590" w:rsidRPr="006E55DB">
        <w:rPr>
          <w:sz w:val="22"/>
          <w:szCs w:val="22"/>
          <w:lang w:val="en-GB"/>
        </w:rPr>
        <w:t>f</w:t>
      </w:r>
      <w:r w:rsidR="00FF0FFC" w:rsidRPr="006E55DB">
        <w:rPr>
          <w:sz w:val="22"/>
          <w:szCs w:val="22"/>
          <w:lang w:val="en-GB"/>
        </w:rPr>
        <w:t xml:space="preserve">orm for a </w:t>
      </w:r>
      <w:r w:rsidR="00986590" w:rsidRPr="006E55DB">
        <w:rPr>
          <w:sz w:val="22"/>
          <w:szCs w:val="22"/>
          <w:lang w:val="en-GB"/>
        </w:rPr>
        <w:t>s</w:t>
      </w:r>
      <w:r w:rsidR="00FF0FFC" w:rsidRPr="006E55DB">
        <w:rPr>
          <w:sz w:val="22"/>
          <w:szCs w:val="22"/>
          <w:lang w:val="en-GB"/>
        </w:rPr>
        <w:t xml:space="preserve">upply </w:t>
      </w:r>
      <w:r w:rsidR="00986590" w:rsidRPr="006E55DB">
        <w:rPr>
          <w:sz w:val="22"/>
          <w:szCs w:val="22"/>
          <w:lang w:val="en-GB"/>
        </w:rPr>
        <w:t>c</w:t>
      </w:r>
      <w:r w:rsidR="00FF0FFC" w:rsidRPr="006E55DB">
        <w:rPr>
          <w:sz w:val="22"/>
          <w:szCs w:val="22"/>
          <w:lang w:val="en-GB"/>
        </w:rPr>
        <w:t>ontract</w:t>
      </w:r>
      <w:r w:rsidR="00021ECF" w:rsidRPr="006E55DB">
        <w:rPr>
          <w:sz w:val="22"/>
          <w:szCs w:val="22"/>
          <w:lang w:val="en-GB"/>
        </w:rPr>
        <w:t>)</w:t>
      </w:r>
      <w:r w:rsidR="00D4238C" w:rsidRPr="006E55DB">
        <w:rPr>
          <w:sz w:val="22"/>
          <w:szCs w:val="22"/>
          <w:lang w:val="en-GB"/>
        </w:rPr>
        <w:t xml:space="preserve">. The reference period which will be taken into account will be the last </w:t>
      </w:r>
      <w:r w:rsidR="00B441CA" w:rsidRPr="006E55DB">
        <w:rPr>
          <w:sz w:val="22"/>
          <w:szCs w:val="22"/>
          <w:lang w:val="en-GB"/>
        </w:rPr>
        <w:t>three years</w:t>
      </w:r>
      <w:r w:rsidR="006E55DB" w:rsidRPr="006E55DB">
        <w:rPr>
          <w:sz w:val="22"/>
          <w:szCs w:val="22"/>
          <w:lang w:val="en-GB"/>
        </w:rPr>
        <w:t xml:space="preserve"> preceding the</w:t>
      </w:r>
      <w:r w:rsidR="00D4238C" w:rsidRPr="006E55DB">
        <w:rPr>
          <w:sz w:val="22"/>
          <w:szCs w:val="22"/>
          <w:lang w:val="en-GB"/>
        </w:rPr>
        <w:t xml:space="preserve"> submission deadline.</w:t>
      </w:r>
      <w:r w:rsidR="00D319D8" w:rsidRPr="006E55DB">
        <w:rPr>
          <w:sz w:val="22"/>
          <w:szCs w:val="22"/>
          <w:lang w:val="en-GB"/>
        </w:rPr>
        <w:t xml:space="preserve"> </w:t>
      </w:r>
    </w:p>
    <w:p w14:paraId="3FD87490" w14:textId="77777777" w:rsidR="00D319D8" w:rsidRPr="00021ECF" w:rsidRDefault="00D319D8" w:rsidP="009D4A1D">
      <w:pPr>
        <w:pStyle w:val="Blockquote"/>
        <w:ind w:left="1134" w:right="1" w:hanging="54"/>
        <w:jc w:val="both"/>
        <w:rPr>
          <w:sz w:val="22"/>
          <w:szCs w:val="22"/>
          <w:lang w:val="en-GB"/>
        </w:rPr>
      </w:pPr>
      <w:r w:rsidRPr="006E55DB">
        <w:rPr>
          <w:sz w:val="22"/>
          <w:szCs w:val="22"/>
        </w:rPr>
        <w:lastRenderedPageBreak/>
        <w:t xml:space="preserve">In the last </w:t>
      </w:r>
      <w:r w:rsidR="006E55DB" w:rsidRPr="006E55DB">
        <w:rPr>
          <w:sz w:val="22"/>
          <w:szCs w:val="22"/>
        </w:rPr>
        <w:t>three</w:t>
      </w:r>
      <w:r w:rsidRPr="006E55DB">
        <w:rPr>
          <w:sz w:val="22"/>
          <w:szCs w:val="22"/>
        </w:rPr>
        <w:t xml:space="preserve"> years before the tender submission expiry date, the Bidder has </w:t>
      </w:r>
      <w:r w:rsidR="00D602A8">
        <w:rPr>
          <w:sz w:val="22"/>
          <w:szCs w:val="22"/>
        </w:rPr>
        <w:t>executed</w:t>
      </w:r>
      <w:r w:rsidRPr="006E55DB">
        <w:rPr>
          <w:sz w:val="22"/>
          <w:szCs w:val="22"/>
        </w:rPr>
        <w:t xml:space="preserve"> at least one</w:t>
      </w:r>
      <w:r w:rsidR="00D602A8">
        <w:rPr>
          <w:sz w:val="22"/>
          <w:szCs w:val="22"/>
        </w:rPr>
        <w:t xml:space="preserve"> similar contract</w:t>
      </w:r>
      <w:r w:rsidR="006E55DB">
        <w:rPr>
          <w:sz w:val="22"/>
          <w:szCs w:val="22"/>
        </w:rPr>
        <w:t xml:space="preserve"> (</w:t>
      </w:r>
      <w:r w:rsidR="006E55DB" w:rsidRPr="006E55DB">
        <w:rPr>
          <w:sz w:val="22"/>
          <w:szCs w:val="22"/>
        </w:rPr>
        <w:t>minimum</w:t>
      </w:r>
      <w:r w:rsidR="006E55DB">
        <w:rPr>
          <w:sz w:val="22"/>
          <w:szCs w:val="22"/>
        </w:rPr>
        <w:t xml:space="preserve"> value of the contract shall be</w:t>
      </w:r>
      <w:r w:rsidR="006E55DB" w:rsidRPr="006E55DB">
        <w:rPr>
          <w:sz w:val="22"/>
          <w:szCs w:val="22"/>
        </w:rPr>
        <w:t xml:space="preserve"> as the price stated in the bid</w:t>
      </w:r>
      <w:r w:rsidR="006E55DB">
        <w:rPr>
          <w:sz w:val="22"/>
          <w:szCs w:val="22"/>
        </w:rPr>
        <w:t>)</w:t>
      </w:r>
      <w:r>
        <w:rPr>
          <w:sz w:val="22"/>
          <w:szCs w:val="22"/>
        </w:rPr>
        <w:t xml:space="preserve">. </w:t>
      </w:r>
    </w:p>
    <w:p w14:paraId="6DFC937F"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 xml:space="preserve">completed at any time during the indicated </w:t>
      </w:r>
      <w:proofErr w:type="gramStart"/>
      <w:r w:rsidRPr="0099467D">
        <w:rPr>
          <w:sz w:val="22"/>
          <w:szCs w:val="22"/>
          <w:lang w:val="en-GB"/>
        </w:rPr>
        <w:t>period</w:t>
      </w:r>
      <w:proofErr w:type="gramEnd"/>
      <w:r w:rsidRPr="0099467D">
        <w:rPr>
          <w:sz w:val="22"/>
          <w:szCs w:val="22"/>
          <w:lang w:val="en-GB"/>
        </w:rPr>
        <w:t xml:space="preserve">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0DB37184"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38168A87"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53CD3203"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0204762F" w14:textId="77777777" w:rsidR="00A90F89" w:rsidRDefault="00A90F89" w:rsidP="00AC2A69">
      <w:pPr>
        <w:pStyle w:val="Blockquote"/>
        <w:keepLines/>
        <w:ind w:left="1134" w:right="1"/>
        <w:jc w:val="both"/>
        <w:rPr>
          <w:sz w:val="22"/>
          <w:szCs w:val="22"/>
          <w:lang w:val="en-GB"/>
        </w:rPr>
      </w:pPr>
      <w:proofErr w:type="gramStart"/>
      <w:r w:rsidRPr="00A90F89">
        <w:rPr>
          <w:sz w:val="22"/>
          <w:szCs w:val="22"/>
          <w:lang w:val="en-GB"/>
        </w:rPr>
        <w:t>With regard to</w:t>
      </w:r>
      <w:proofErr w:type="gramEnd"/>
      <w:r w:rsidRPr="00A90F89">
        <w:rPr>
          <w:sz w:val="22"/>
          <w:szCs w:val="22"/>
          <w:lang w:val="en-GB"/>
        </w:rPr>
        <w:t xml:space="preserve"> economic and financial criteria, the entities upon whose capacity the tenderer relies, become jointly and severally liable for the performance of the contract.</w:t>
      </w:r>
    </w:p>
    <w:p w14:paraId="00369B6E"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9F580D6" w14:textId="77777777" w:rsidR="00E23824" w:rsidRPr="003F1149" w:rsidRDefault="00E23824" w:rsidP="00AC2A69">
      <w:pPr>
        <w:pStyle w:val="Blockquote"/>
        <w:ind w:left="709" w:right="1"/>
        <w:jc w:val="both"/>
        <w:rPr>
          <w:sz w:val="22"/>
          <w:szCs w:val="22"/>
          <w:lang w:val="en-GB"/>
        </w:rPr>
      </w:pPr>
      <w:r w:rsidRPr="003F1149">
        <w:rPr>
          <w:sz w:val="22"/>
          <w:szCs w:val="22"/>
          <w:lang w:val="en-GB"/>
        </w:rPr>
        <w:t>Price</w:t>
      </w:r>
      <w:r w:rsidR="00063C13">
        <w:rPr>
          <w:sz w:val="22"/>
          <w:szCs w:val="22"/>
          <w:lang w:val="en-GB"/>
        </w:rPr>
        <w:t xml:space="preserve">. </w:t>
      </w:r>
    </w:p>
    <w:p w14:paraId="6A5C7337" w14:textId="77777777" w:rsidR="00E23824" w:rsidRPr="003F1149" w:rsidRDefault="008365DC" w:rsidP="00AC2A69">
      <w:pPr>
        <w:spacing w:before="300"/>
        <w:ind w:right="1"/>
        <w:jc w:val="center"/>
        <w:rPr>
          <w:rStyle w:val="Strong"/>
          <w:sz w:val="28"/>
          <w:szCs w:val="28"/>
          <w:lang w:val="en-GB"/>
        </w:rPr>
      </w:pPr>
      <w:r>
        <w:rPr>
          <w:noProof/>
          <w:snapToGrid/>
        </w:rPr>
        <mc:AlternateContent>
          <mc:Choice Requires="wps">
            <w:drawing>
              <wp:anchor distT="0" distB="0" distL="114300" distR="114300" simplePos="0" relativeHeight="251656704" behindDoc="0" locked="0" layoutInCell="0" allowOverlap="1" wp14:anchorId="136F2156" wp14:editId="295E97FE">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D4A6A"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WPAAIAAPI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" o:allowincell="f" strokecolor="#d4d4d4" strokeweight="1.75pt">
                <v:shadow on="t" origin="-.5,-.5" offset="0,-1pt"/>
              </v:line>
            </w:pict>
          </mc:Fallback>
        </mc:AlternateContent>
      </w:r>
      <w:r w:rsidR="00E23824" w:rsidRPr="003F1149">
        <w:rPr>
          <w:rStyle w:val="Strong"/>
          <w:sz w:val="28"/>
          <w:szCs w:val="28"/>
          <w:lang w:val="en-GB"/>
        </w:rPr>
        <w:t>TENDERING</w:t>
      </w:r>
    </w:p>
    <w:p w14:paraId="77BD00FC"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28DBB4FD" w14:textId="77777777"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Pr>
          <w:sz w:val="22"/>
          <w:szCs w:val="22"/>
          <w:lang w:val="en-GB"/>
        </w:rPr>
        <w:t xml:space="preserve"> </w:t>
      </w:r>
      <w:hyperlink r:id="rId8" w:history="1">
        <w:r w:rsidR="00561A4D" w:rsidRPr="008418D4">
          <w:rPr>
            <w:rStyle w:val="Hyperlink"/>
            <w:sz w:val="22"/>
            <w:szCs w:val="22"/>
            <w:lang w:val="en-GB"/>
          </w:rPr>
          <w:t>https://webgate.ec.europa.eu/europeaid/online-services/index.cfm?do=publi.welcome</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0FBB280D" w14:textId="77777777" w:rsidR="00063C13" w:rsidRDefault="00E23824" w:rsidP="00AC2A69">
      <w:pPr>
        <w:ind w:left="709" w:right="1"/>
        <w:jc w:val="both"/>
        <w:rPr>
          <w:sz w:val="22"/>
          <w:szCs w:val="22"/>
          <w:lang w:val="en-GB"/>
        </w:rPr>
      </w:pPr>
      <w:r w:rsidRPr="003F1149">
        <w:rPr>
          <w:sz w:val="22"/>
          <w:szCs w:val="22"/>
          <w:lang w:val="en-GB"/>
        </w:rPr>
        <w:t>Tenderers with questions regarding this tender should send them in writing to</w:t>
      </w:r>
      <w:r w:rsidR="00063C13">
        <w:rPr>
          <w:sz w:val="22"/>
          <w:szCs w:val="22"/>
          <w:lang w:val="en-GB"/>
        </w:rPr>
        <w:t xml:space="preserve">: </w:t>
      </w:r>
    </w:p>
    <w:p w14:paraId="19FC41E8" w14:textId="77777777" w:rsidR="00063C13" w:rsidRDefault="00063C13" w:rsidP="00063C13">
      <w:pPr>
        <w:spacing w:before="0" w:after="0"/>
        <w:ind w:left="709"/>
        <w:jc w:val="both"/>
        <w:rPr>
          <w:sz w:val="22"/>
          <w:szCs w:val="22"/>
          <w:lang w:val="en-GB"/>
        </w:rPr>
      </w:pPr>
      <w:r w:rsidRPr="00CB1158">
        <w:rPr>
          <w:sz w:val="22"/>
          <w:szCs w:val="22"/>
          <w:lang w:val="en-GB"/>
        </w:rPr>
        <w:t>Educational Training Centre for Professional and Working Skills</w:t>
      </w:r>
      <w:r w:rsidRPr="00D9667B">
        <w:rPr>
          <w:sz w:val="22"/>
          <w:szCs w:val="22"/>
          <w:lang w:val="en-GB"/>
        </w:rPr>
        <w:t xml:space="preserve">, </w:t>
      </w:r>
    </w:p>
    <w:p w14:paraId="7D792A2F" w14:textId="77777777" w:rsidR="00063C13" w:rsidRPr="00D9667B" w:rsidRDefault="00063C13" w:rsidP="00063C13">
      <w:pPr>
        <w:spacing w:before="0" w:after="0"/>
        <w:ind w:left="709"/>
        <w:jc w:val="both"/>
        <w:rPr>
          <w:sz w:val="22"/>
          <w:szCs w:val="22"/>
          <w:lang w:val="en-GB"/>
        </w:rPr>
      </w:pPr>
      <w:r w:rsidRPr="00D9667B">
        <w:rPr>
          <w:sz w:val="22"/>
          <w:szCs w:val="22"/>
          <w:lang w:val="en-GB"/>
        </w:rPr>
        <w:t xml:space="preserve">21000 Novi Sad, </w:t>
      </w:r>
      <w:proofErr w:type="spellStart"/>
      <w:r>
        <w:rPr>
          <w:sz w:val="22"/>
          <w:szCs w:val="22"/>
          <w:lang w:val="en-GB"/>
        </w:rPr>
        <w:t>Industrijska</w:t>
      </w:r>
      <w:proofErr w:type="spellEnd"/>
      <w:r>
        <w:rPr>
          <w:sz w:val="22"/>
          <w:szCs w:val="22"/>
          <w:lang w:val="en-GB"/>
        </w:rPr>
        <w:t xml:space="preserve"> 3 </w:t>
      </w:r>
    </w:p>
    <w:p w14:paraId="2C54432A" w14:textId="63764F44" w:rsidR="00063C13" w:rsidRDefault="00063C13" w:rsidP="00063C13">
      <w:pPr>
        <w:spacing w:before="0"/>
        <w:ind w:left="709"/>
        <w:jc w:val="both"/>
        <w:rPr>
          <w:sz w:val="22"/>
          <w:szCs w:val="22"/>
          <w:lang w:val="en-GB"/>
        </w:rPr>
      </w:pPr>
      <w:r w:rsidRPr="00D9667B">
        <w:rPr>
          <w:sz w:val="22"/>
          <w:szCs w:val="22"/>
          <w:lang w:val="en-GB"/>
        </w:rPr>
        <w:t xml:space="preserve">E-mail: </w:t>
      </w:r>
      <w:hyperlink r:id="rId9" w:history="1">
        <w:r w:rsidR="00F07EBC">
          <w:rPr>
            <w:rStyle w:val="Hyperlink"/>
            <w:sz w:val="22"/>
            <w:szCs w:val="22"/>
            <w:lang w:val="en-GB"/>
          </w:rPr>
          <w:t>aleksandar.petrovic</w:t>
        </w:r>
        <w:r w:rsidRPr="00613775">
          <w:rPr>
            <w:rStyle w:val="Hyperlink"/>
            <w:sz w:val="22"/>
            <w:szCs w:val="22"/>
            <w:lang w:val="en-GB"/>
          </w:rPr>
          <w:t>@centar.edu.rs</w:t>
        </w:r>
      </w:hyperlink>
      <w:r>
        <w:rPr>
          <w:sz w:val="22"/>
          <w:szCs w:val="22"/>
          <w:lang w:val="en-GB"/>
        </w:rPr>
        <w:t xml:space="preserve">  </w:t>
      </w:r>
      <w:r w:rsidRPr="003F1149">
        <w:rPr>
          <w:sz w:val="22"/>
          <w:szCs w:val="22"/>
          <w:lang w:val="en-GB"/>
        </w:rPr>
        <w:t xml:space="preserve"> </w:t>
      </w:r>
    </w:p>
    <w:p w14:paraId="37A15FED" w14:textId="77777777" w:rsidR="00AC4ADE" w:rsidRDefault="00E23824" w:rsidP="00AC2A69">
      <w:pPr>
        <w:ind w:left="709" w:right="1"/>
        <w:jc w:val="both"/>
        <w:rPr>
          <w:sz w:val="22"/>
          <w:szCs w:val="22"/>
          <w:lang w:val="en-GB"/>
        </w:rPr>
      </w:pPr>
      <w:r w:rsidRPr="003F1149">
        <w:rPr>
          <w:sz w:val="22"/>
          <w:szCs w:val="22"/>
          <w:lang w:val="en-GB"/>
        </w:rPr>
        <w:t xml:space="preserve">(mentioning the publication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3F1149">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or minor changes</w:t>
      </w:r>
      <w:bookmarkStart w:id="1" w:name="_GoBack"/>
      <w:bookmarkEnd w:id="1"/>
      <w:r w:rsidR="00BC3573" w:rsidRPr="00A61045">
        <w:rPr>
          <w:sz w:val="22"/>
          <w:szCs w:val="22"/>
          <w:lang w:val="en-GB"/>
        </w:rPr>
        <w:t xml:space="preserve">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w:t>
      </w:r>
      <w:r w:rsidR="00172F51">
        <w:rPr>
          <w:sz w:val="22"/>
          <w:szCs w:val="22"/>
          <w:lang w:val="en-GB"/>
        </w:rPr>
        <w:t xml:space="preserve"> of DG International Cooperation and </w:t>
      </w:r>
      <w:r w:rsidR="00172F51">
        <w:rPr>
          <w:sz w:val="22"/>
          <w:szCs w:val="22"/>
          <w:lang w:val="en-GB"/>
        </w:rPr>
        <w:lastRenderedPageBreak/>
        <w:t>Development</w:t>
      </w:r>
      <w:r w:rsidR="006E469C" w:rsidRPr="00A61045">
        <w:rPr>
          <w:sz w:val="22"/>
          <w:szCs w:val="22"/>
          <w:lang w:val="en-GB"/>
        </w:rPr>
        <w:t xml:space="preserve"> at</w:t>
      </w:r>
      <w:r w:rsidR="00BC3573" w:rsidRPr="00A61045">
        <w:rPr>
          <w:sz w:val="22"/>
          <w:szCs w:val="22"/>
          <w:lang w:val="en-GB"/>
        </w:rPr>
        <w:t xml:space="preserve"> </w:t>
      </w:r>
      <w:hyperlink r:id="rId10" w:history="1">
        <w:r w:rsidR="00AC4ADE" w:rsidRPr="00C8281A">
          <w:rPr>
            <w:rStyle w:val="Hyperlink"/>
            <w:sz w:val="22"/>
            <w:szCs w:val="22"/>
            <w:lang w:val="en-GB"/>
          </w:rPr>
          <w:t>https://webgate.ec.europa.eu/europeaid/online-services/index.cfm?do=publi.welcome</w:t>
        </w:r>
      </w:hyperlink>
    </w:p>
    <w:p w14:paraId="44E9CD61"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5878EA9D"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31CD63D9"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2F7C5B5E" w14:textId="77777777" w:rsidR="00E23824" w:rsidRPr="00B3128F" w:rsidRDefault="00063C13" w:rsidP="007563B1">
      <w:pPr>
        <w:pStyle w:val="Blockquote"/>
        <w:ind w:left="709" w:right="1"/>
        <w:jc w:val="both"/>
        <w:rPr>
          <w:rStyle w:val="Emphasis"/>
          <w:i w:val="0"/>
          <w:sz w:val="22"/>
          <w:szCs w:val="22"/>
          <w:highlight w:val="yellow"/>
          <w:lang w:val="en-GB"/>
        </w:rPr>
      </w:pPr>
      <w:r w:rsidRPr="00063C13">
        <w:rPr>
          <w:sz w:val="22"/>
          <w:szCs w:val="22"/>
          <w:lang w:val="en-GB"/>
        </w:rPr>
        <w:t xml:space="preserve">Deadline for submission of tenders is </w:t>
      </w:r>
      <w:r w:rsidR="001701F6">
        <w:rPr>
          <w:sz w:val="22"/>
          <w:szCs w:val="22"/>
          <w:lang w:val="en-GB"/>
        </w:rPr>
        <w:t>2</w:t>
      </w:r>
      <w:r w:rsidR="00313A1E">
        <w:rPr>
          <w:sz w:val="22"/>
          <w:szCs w:val="22"/>
          <w:lang w:val="en-GB"/>
        </w:rPr>
        <w:t>8</w:t>
      </w:r>
      <w:r w:rsidR="00313A1E" w:rsidRPr="00313A1E">
        <w:rPr>
          <w:sz w:val="22"/>
          <w:szCs w:val="22"/>
          <w:vertAlign w:val="superscript"/>
          <w:lang w:val="en-GB"/>
        </w:rPr>
        <w:t>th</w:t>
      </w:r>
      <w:r w:rsidR="00313A1E">
        <w:rPr>
          <w:sz w:val="22"/>
          <w:szCs w:val="22"/>
          <w:lang w:val="en-GB"/>
        </w:rPr>
        <w:t xml:space="preserve"> Nov</w:t>
      </w:r>
      <w:r w:rsidR="001701F6">
        <w:rPr>
          <w:sz w:val="22"/>
          <w:szCs w:val="22"/>
          <w:lang w:val="en-GB"/>
        </w:rPr>
        <w:t>ember</w:t>
      </w:r>
      <w:r w:rsidRPr="00063C13">
        <w:rPr>
          <w:sz w:val="22"/>
          <w:szCs w:val="22"/>
          <w:lang w:val="en-GB"/>
        </w:rPr>
        <w:t xml:space="preserve"> 2019 at 1</w:t>
      </w:r>
      <w:r w:rsidR="00313A1E">
        <w:rPr>
          <w:sz w:val="22"/>
          <w:szCs w:val="22"/>
          <w:lang w:val="en-GB"/>
        </w:rPr>
        <w:t>5</w:t>
      </w:r>
      <w:r w:rsidRPr="00063C13">
        <w:rPr>
          <w:sz w:val="22"/>
          <w:szCs w:val="22"/>
          <w:lang w:val="en-GB"/>
        </w:rPr>
        <w:t xml:space="preserve">:00 hours CET at the premises of the Educational Training Centre for Professional and Working Skills, 21000 Novi Sad, </w:t>
      </w:r>
      <w:proofErr w:type="spellStart"/>
      <w:r w:rsidRPr="00063C13">
        <w:rPr>
          <w:sz w:val="22"/>
          <w:szCs w:val="22"/>
          <w:lang w:val="en-GB"/>
        </w:rPr>
        <w:t>Industrijska</w:t>
      </w:r>
      <w:proofErr w:type="spellEnd"/>
      <w:r w:rsidRPr="00063C13">
        <w:rPr>
          <w:sz w:val="22"/>
          <w:szCs w:val="22"/>
          <w:lang w:val="en-GB"/>
        </w:rPr>
        <w:t xml:space="preserve"> 3.</w:t>
      </w:r>
      <w:r>
        <w:rPr>
          <w:sz w:val="22"/>
          <w:szCs w:val="22"/>
          <w:lang w:val="en-GB"/>
        </w:rPr>
        <w:t xml:space="preserve"> </w:t>
      </w:r>
    </w:p>
    <w:p w14:paraId="50C9EF54"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6DEF3C9C" w14:textId="77777777" w:rsidR="0023457E" w:rsidRPr="00063C13" w:rsidRDefault="0023457E" w:rsidP="0023457E">
      <w:pPr>
        <w:pStyle w:val="Blockquote"/>
        <w:ind w:left="709" w:right="26"/>
        <w:jc w:val="both"/>
        <w:rPr>
          <w:b/>
          <w:sz w:val="22"/>
          <w:szCs w:val="22"/>
          <w:lang w:val="en-GB"/>
        </w:rPr>
      </w:pPr>
      <w:r w:rsidRPr="003319C5">
        <w:rPr>
          <w:b/>
          <w:sz w:val="22"/>
          <w:szCs w:val="22"/>
          <w:lang w:val="en-GB"/>
        </w:rPr>
        <w:t xml:space="preserve">The contracting authority may, for reasons of administrative efficiency, reject any tender submitted on time to the postal service but received, for any reason beyond the contracting </w:t>
      </w:r>
      <w:r w:rsidRPr="00063C13">
        <w:rPr>
          <w:b/>
          <w:sz w:val="22"/>
          <w:szCs w:val="22"/>
          <w:lang w:val="en-GB"/>
        </w:rPr>
        <w:t>authority's control, after the effective date of approval  of the evaluation report, if accepting tenders that were submitted on time but arrived late would considerably delay the evaluation procedure or jeopardise decisions already taken and notified.</w:t>
      </w:r>
    </w:p>
    <w:p w14:paraId="0DF51760" w14:textId="77777777" w:rsidR="0023457E" w:rsidRPr="00063C13" w:rsidRDefault="0023457E" w:rsidP="0023457E">
      <w:pPr>
        <w:ind w:left="709" w:right="26" w:hanging="349"/>
        <w:outlineLvl w:val="0"/>
        <w:rPr>
          <w:sz w:val="22"/>
          <w:szCs w:val="22"/>
          <w:lang w:val="en-GB"/>
        </w:rPr>
      </w:pPr>
      <w:r w:rsidRPr="00063C13">
        <w:rPr>
          <w:rStyle w:val="Strong"/>
          <w:sz w:val="22"/>
          <w:szCs w:val="22"/>
          <w:lang w:val="en-GB"/>
        </w:rPr>
        <w:tab/>
      </w:r>
      <w:r w:rsidR="000B39AD" w:rsidRPr="00063C13">
        <w:rPr>
          <w:rStyle w:val="Strong"/>
          <w:sz w:val="22"/>
          <w:szCs w:val="22"/>
          <w:lang w:val="en-GB"/>
        </w:rPr>
        <w:t>How tenders</w:t>
      </w:r>
      <w:r w:rsidRPr="00063C13">
        <w:rPr>
          <w:rStyle w:val="Strong"/>
          <w:sz w:val="22"/>
          <w:szCs w:val="22"/>
          <w:lang w:val="en-GB"/>
        </w:rPr>
        <w:t xml:space="preserve"> may be submitted</w:t>
      </w:r>
    </w:p>
    <w:p w14:paraId="0E8E642B"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14:paraId="07A57222"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to :</w:t>
      </w:r>
    </w:p>
    <w:p w14:paraId="711831C7" w14:textId="77777777" w:rsidR="00063C13" w:rsidRPr="00063C13" w:rsidRDefault="00063C13" w:rsidP="00063C13">
      <w:pPr>
        <w:pStyle w:val="Blockquote"/>
        <w:ind w:right="26"/>
        <w:jc w:val="center"/>
        <w:rPr>
          <w:sz w:val="22"/>
          <w:szCs w:val="22"/>
          <w:lang w:val="en-GB"/>
        </w:rPr>
      </w:pPr>
      <w:r w:rsidRPr="00063C13">
        <w:rPr>
          <w:sz w:val="22"/>
          <w:szCs w:val="22"/>
          <w:lang w:val="en-GB"/>
        </w:rPr>
        <w:t xml:space="preserve">Educational Training Centre for Professional and Working Skills, </w:t>
      </w:r>
    </w:p>
    <w:p w14:paraId="483A9EAC" w14:textId="77777777" w:rsidR="0023457E" w:rsidRPr="00B50F3D" w:rsidRDefault="00063C13" w:rsidP="00063C13">
      <w:pPr>
        <w:pStyle w:val="Blockquote"/>
        <w:ind w:right="26"/>
        <w:jc w:val="center"/>
        <w:rPr>
          <w:sz w:val="22"/>
          <w:szCs w:val="22"/>
          <w:lang w:val="en-GB"/>
        </w:rPr>
      </w:pPr>
      <w:r w:rsidRPr="00063C13">
        <w:rPr>
          <w:sz w:val="22"/>
          <w:szCs w:val="22"/>
          <w:lang w:val="en-GB"/>
        </w:rPr>
        <w:t xml:space="preserve">21000 Novi Sad, </w:t>
      </w:r>
      <w:proofErr w:type="spellStart"/>
      <w:r w:rsidRPr="00063C13">
        <w:rPr>
          <w:sz w:val="22"/>
          <w:szCs w:val="22"/>
          <w:lang w:val="en-GB"/>
        </w:rPr>
        <w:t>Industrijska</w:t>
      </w:r>
      <w:proofErr w:type="spellEnd"/>
      <w:r w:rsidRPr="00063C13">
        <w:rPr>
          <w:sz w:val="22"/>
          <w:szCs w:val="22"/>
          <w:lang w:val="en-GB"/>
        </w:rPr>
        <w:t xml:space="preserve"> 3</w:t>
      </w:r>
      <w:r>
        <w:rPr>
          <w:sz w:val="22"/>
          <w:szCs w:val="22"/>
          <w:lang w:val="en-GB"/>
        </w:rPr>
        <w:t xml:space="preserve"> </w:t>
      </w:r>
    </w:p>
    <w:p w14:paraId="0BE5FE3C"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1156FDCB" w14:textId="77777777" w:rsidR="00063C13" w:rsidRPr="00063C13" w:rsidRDefault="00063C13" w:rsidP="00063C13">
      <w:pPr>
        <w:pStyle w:val="Blockquote"/>
        <w:ind w:right="26"/>
        <w:jc w:val="center"/>
        <w:rPr>
          <w:sz w:val="22"/>
          <w:szCs w:val="22"/>
          <w:lang w:val="en-GB"/>
        </w:rPr>
      </w:pPr>
      <w:r w:rsidRPr="00063C13">
        <w:rPr>
          <w:sz w:val="22"/>
          <w:szCs w:val="22"/>
          <w:lang w:val="en-GB"/>
        </w:rPr>
        <w:t xml:space="preserve">Educational Training Centre for Professional and Working Skills, </w:t>
      </w:r>
    </w:p>
    <w:p w14:paraId="51531ED9" w14:textId="77777777" w:rsidR="00063C13" w:rsidRDefault="00063C13" w:rsidP="00063C13">
      <w:pPr>
        <w:pStyle w:val="Blockquote"/>
        <w:ind w:right="26"/>
        <w:jc w:val="center"/>
        <w:rPr>
          <w:sz w:val="22"/>
          <w:szCs w:val="22"/>
          <w:lang w:val="en-GB"/>
        </w:rPr>
      </w:pPr>
      <w:r w:rsidRPr="00063C13">
        <w:rPr>
          <w:sz w:val="22"/>
          <w:szCs w:val="22"/>
          <w:lang w:val="en-GB"/>
        </w:rPr>
        <w:t xml:space="preserve">21000 Novi Sad, </w:t>
      </w:r>
      <w:proofErr w:type="spellStart"/>
      <w:r w:rsidRPr="00063C13">
        <w:rPr>
          <w:sz w:val="22"/>
          <w:szCs w:val="22"/>
          <w:lang w:val="en-GB"/>
        </w:rPr>
        <w:t>Industrijska</w:t>
      </w:r>
      <w:proofErr w:type="spellEnd"/>
      <w:r w:rsidRPr="00063C13">
        <w:rPr>
          <w:sz w:val="22"/>
          <w:szCs w:val="22"/>
          <w:lang w:val="en-GB"/>
        </w:rPr>
        <w:t xml:space="preserve"> 3</w:t>
      </w:r>
      <w:r>
        <w:rPr>
          <w:sz w:val="22"/>
          <w:szCs w:val="22"/>
          <w:lang w:val="en-GB"/>
        </w:rPr>
        <w:t xml:space="preserve"> </w:t>
      </w:r>
    </w:p>
    <w:p w14:paraId="7CD35D52" w14:textId="77777777" w:rsidR="00FB26F3" w:rsidRPr="00AE0736" w:rsidRDefault="00FB26F3" w:rsidP="00063C13">
      <w:pPr>
        <w:pStyle w:val="Blockquote"/>
        <w:ind w:right="26"/>
        <w:jc w:val="center"/>
        <w:rPr>
          <w:sz w:val="22"/>
          <w:szCs w:val="22"/>
          <w:lang w:val="en-GB"/>
        </w:rPr>
      </w:pPr>
      <w:r w:rsidRPr="00AE0736">
        <w:rPr>
          <w:sz w:val="22"/>
          <w:szCs w:val="22"/>
          <w:lang w:val="en-GB"/>
        </w:rPr>
        <w:t xml:space="preserve">Opening hours: 7:00 to 15:00 </w:t>
      </w:r>
    </w:p>
    <w:p w14:paraId="53B0019B" w14:textId="77777777" w:rsidR="00FB26F3" w:rsidRPr="00AE0736" w:rsidRDefault="00FB26F3" w:rsidP="00063C13">
      <w:pPr>
        <w:pStyle w:val="Blockquote"/>
        <w:ind w:right="26"/>
        <w:jc w:val="center"/>
        <w:rPr>
          <w:rStyle w:val="Emphasis"/>
          <w:i w:val="0"/>
          <w:sz w:val="22"/>
          <w:szCs w:val="22"/>
          <w:lang w:val="en-GB"/>
        </w:rPr>
      </w:pPr>
      <w:r w:rsidRPr="00AE0736">
        <w:rPr>
          <w:rStyle w:val="Emphasis"/>
          <w:i w:val="0"/>
          <w:sz w:val="22"/>
          <w:szCs w:val="22"/>
          <w:lang w:val="en-GB"/>
        </w:rPr>
        <w:t>Name and telephone number of contact person</w:t>
      </w:r>
      <w:r w:rsidR="00AE0736" w:rsidRPr="00AE0736">
        <w:rPr>
          <w:rStyle w:val="Emphasis"/>
          <w:i w:val="0"/>
          <w:sz w:val="22"/>
          <w:szCs w:val="22"/>
          <w:lang w:val="en-GB"/>
        </w:rPr>
        <w:t xml:space="preserve">: </w:t>
      </w:r>
    </w:p>
    <w:p w14:paraId="223A8A07" w14:textId="77777777" w:rsidR="00AE0736" w:rsidRPr="00AE0736" w:rsidRDefault="00AE0736" w:rsidP="00063C13">
      <w:pPr>
        <w:pStyle w:val="Blockquote"/>
        <w:ind w:right="26"/>
        <w:jc w:val="center"/>
        <w:rPr>
          <w:sz w:val="22"/>
          <w:szCs w:val="22"/>
          <w:lang w:val="en-GB"/>
        </w:rPr>
      </w:pPr>
      <w:r w:rsidRPr="00AE0736">
        <w:rPr>
          <w:rStyle w:val="Emphasis"/>
          <w:i w:val="0"/>
          <w:sz w:val="22"/>
          <w:szCs w:val="22"/>
          <w:lang w:val="en-GB"/>
        </w:rPr>
        <w:t xml:space="preserve">Aleksandar </w:t>
      </w:r>
      <w:proofErr w:type="spellStart"/>
      <w:r w:rsidRPr="00AE0736">
        <w:rPr>
          <w:rStyle w:val="Emphasis"/>
          <w:i w:val="0"/>
          <w:sz w:val="22"/>
          <w:szCs w:val="22"/>
          <w:lang w:val="en-GB"/>
        </w:rPr>
        <w:t>Petrović</w:t>
      </w:r>
      <w:proofErr w:type="spellEnd"/>
      <w:r w:rsidRPr="00AE0736">
        <w:rPr>
          <w:rStyle w:val="Emphasis"/>
          <w:i w:val="0"/>
          <w:sz w:val="22"/>
          <w:szCs w:val="22"/>
          <w:lang w:val="en-GB"/>
        </w:rPr>
        <w:t>, 021/494-338</w:t>
      </w:r>
      <w:r>
        <w:rPr>
          <w:rStyle w:val="Emphasis"/>
          <w:i w:val="0"/>
          <w:sz w:val="22"/>
          <w:szCs w:val="22"/>
          <w:lang w:val="en-GB"/>
        </w:rPr>
        <w:t xml:space="preserve"> </w:t>
      </w:r>
      <w:r w:rsidRPr="00AE0736">
        <w:rPr>
          <w:rStyle w:val="Emphasis"/>
          <w:i w:val="0"/>
          <w:sz w:val="22"/>
          <w:szCs w:val="22"/>
          <w:lang w:val="en-GB"/>
        </w:rPr>
        <w:t xml:space="preserve"> </w:t>
      </w:r>
    </w:p>
    <w:p w14:paraId="3ACDE58A"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07EBC56A"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7B0124A8" w14:textId="77777777"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75E8473A" w14:textId="77777777" w:rsidR="0023457E" w:rsidRPr="000B39AD" w:rsidRDefault="0023457E" w:rsidP="003319C5">
      <w:pPr>
        <w:pStyle w:val="Blockquote"/>
        <w:ind w:left="709" w:right="1"/>
        <w:rPr>
          <w:sz w:val="22"/>
          <w:szCs w:val="22"/>
          <w:lang w:val="en-GB"/>
        </w:rPr>
      </w:pPr>
    </w:p>
    <w:p w14:paraId="6B016232"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2F21082F" w14:textId="77777777" w:rsidR="004D3B07" w:rsidRDefault="00313A1E" w:rsidP="00AC2A69">
      <w:pPr>
        <w:pStyle w:val="Blockquote"/>
        <w:ind w:left="644" w:right="1"/>
        <w:jc w:val="both"/>
        <w:rPr>
          <w:sz w:val="22"/>
          <w:szCs w:val="22"/>
          <w:lang w:val="en-GB"/>
        </w:rPr>
      </w:pPr>
      <w:r>
        <w:rPr>
          <w:sz w:val="22"/>
          <w:szCs w:val="22"/>
          <w:lang w:val="en-GB"/>
        </w:rPr>
        <w:lastRenderedPageBreak/>
        <w:t>5</w:t>
      </w:r>
      <w:r w:rsidRPr="00313A1E">
        <w:rPr>
          <w:sz w:val="22"/>
          <w:szCs w:val="22"/>
          <w:vertAlign w:val="superscript"/>
          <w:lang w:val="en-GB"/>
        </w:rPr>
        <w:t>th</w:t>
      </w:r>
      <w:r>
        <w:rPr>
          <w:sz w:val="22"/>
          <w:szCs w:val="22"/>
          <w:lang w:val="en-GB"/>
        </w:rPr>
        <w:t xml:space="preserve"> </w:t>
      </w:r>
      <w:r w:rsidR="001701F6">
        <w:rPr>
          <w:sz w:val="22"/>
          <w:szCs w:val="22"/>
          <w:lang w:val="en-GB"/>
        </w:rPr>
        <w:t>December</w:t>
      </w:r>
      <w:r w:rsidR="00063C13" w:rsidRPr="00063C13">
        <w:rPr>
          <w:sz w:val="22"/>
          <w:szCs w:val="22"/>
          <w:lang w:val="en-GB"/>
        </w:rPr>
        <w:t xml:space="preserve"> 2019 at 14:00 hours CET at the premises of the Educational Training Centre for Professional and Working Skills, 21000 Novi Sad, </w:t>
      </w:r>
      <w:proofErr w:type="spellStart"/>
      <w:r w:rsidR="00063C13" w:rsidRPr="00063C13">
        <w:rPr>
          <w:sz w:val="22"/>
          <w:szCs w:val="22"/>
          <w:lang w:val="en-GB"/>
        </w:rPr>
        <w:t>Industrijska</w:t>
      </w:r>
      <w:proofErr w:type="spellEnd"/>
      <w:r w:rsidR="00063C13" w:rsidRPr="00063C13">
        <w:rPr>
          <w:sz w:val="22"/>
          <w:szCs w:val="22"/>
          <w:lang w:val="en-GB"/>
        </w:rPr>
        <w:t xml:space="preserve"> 3.</w:t>
      </w:r>
      <w:r w:rsidR="00063C13">
        <w:rPr>
          <w:sz w:val="22"/>
          <w:szCs w:val="22"/>
          <w:lang w:val="en-GB"/>
        </w:rPr>
        <w:t xml:space="preserve"> </w:t>
      </w:r>
    </w:p>
    <w:p w14:paraId="2143BBD5"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3E899C2B"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4038E388"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14:paraId="617D9DF0"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2B20EF9C" w14:textId="77777777" w:rsidR="00F964EE" w:rsidRDefault="00063C13" w:rsidP="00AC2A69">
      <w:pPr>
        <w:ind w:left="644" w:right="1"/>
        <w:jc w:val="both"/>
        <w:outlineLvl w:val="0"/>
        <w:rPr>
          <w:sz w:val="22"/>
          <w:szCs w:val="22"/>
          <w:highlight w:val="lightGray"/>
        </w:rPr>
      </w:pPr>
      <w:r w:rsidRPr="00063C13">
        <w:rPr>
          <w:sz w:val="22"/>
          <w:szCs w:val="22"/>
        </w:rPr>
        <w:t>Regulation (EU) No 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See Annex A2 of the practical guide</w:t>
      </w:r>
      <w:r>
        <w:rPr>
          <w:sz w:val="22"/>
          <w:szCs w:val="22"/>
        </w:rPr>
        <w:t xml:space="preserve">. </w:t>
      </w:r>
    </w:p>
    <w:p w14:paraId="2994EAF8"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510707E1" w14:textId="77777777" w:rsidR="00886BAC" w:rsidRPr="00B3128F" w:rsidRDefault="00886BAC" w:rsidP="00292712">
      <w:pPr>
        <w:widowControl/>
        <w:snapToGrid w:val="0"/>
        <w:spacing w:after="0"/>
        <w:ind w:left="644" w:right="-17"/>
        <w:jc w:val="both"/>
        <w:rPr>
          <w:sz w:val="22"/>
          <w:szCs w:val="22"/>
          <w:lang w:val="en-GB"/>
        </w:rPr>
      </w:pPr>
      <w:r w:rsidRPr="00B3128F">
        <w:rPr>
          <w:sz w:val="22"/>
          <w:szCs w:val="22"/>
          <w:lang w:val="en-GB"/>
        </w:rPr>
        <w:t xml:space="preserve">Financial data to be provided by the </w:t>
      </w:r>
      <w:r w:rsidR="00DE0424" w:rsidRPr="00B3128F">
        <w:rPr>
          <w:sz w:val="22"/>
          <w:szCs w:val="22"/>
          <w:lang w:val="en-GB"/>
        </w:rPr>
        <w:t>tenderer</w:t>
      </w:r>
      <w:r w:rsidRPr="00B3128F">
        <w:rPr>
          <w:sz w:val="22"/>
          <w:szCs w:val="22"/>
          <w:lang w:val="en-GB"/>
        </w:rPr>
        <w:t xml:space="preserve"> in the standard tender form must be expressed in </w:t>
      </w:r>
      <w:r w:rsidR="00973B7C">
        <w:rPr>
          <w:sz w:val="22"/>
          <w:szCs w:val="22"/>
          <w:lang w:val="en-GB"/>
        </w:rPr>
        <w:t xml:space="preserve">EUR or </w:t>
      </w:r>
      <w:r w:rsidR="00570442" w:rsidRPr="00570442">
        <w:rPr>
          <w:sz w:val="22"/>
          <w:szCs w:val="22"/>
          <w:lang w:val="en-GB"/>
        </w:rPr>
        <w:t xml:space="preserve">RSD </w:t>
      </w:r>
      <w:r w:rsidR="00973B7C">
        <w:rPr>
          <w:sz w:val="22"/>
          <w:szCs w:val="22"/>
          <w:lang w:val="en-GB"/>
        </w:rPr>
        <w:t>(</w:t>
      </w:r>
      <w:r w:rsidR="00570442" w:rsidRPr="00570442">
        <w:rPr>
          <w:sz w:val="22"/>
          <w:szCs w:val="22"/>
          <w:lang w:val="en-GB"/>
        </w:rPr>
        <w:t>for companies registered in Republic of Serbia</w:t>
      </w:r>
      <w:r w:rsidR="00973B7C">
        <w:rPr>
          <w:sz w:val="22"/>
          <w:szCs w:val="22"/>
          <w:lang w:val="en-GB"/>
        </w:rPr>
        <w:t xml:space="preserve"> payments need to be made in local currency)</w:t>
      </w:r>
      <w:r w:rsidRPr="00B3128F">
        <w:rPr>
          <w:sz w:val="22"/>
          <w:szCs w:val="22"/>
          <w:lang w:val="en-GB"/>
        </w:rPr>
        <w:t xml:space="preserve">. If applicable, where a candidate refers to amounts originally expressed in a different currency, </w:t>
      </w:r>
      <w:r w:rsidRPr="00C46B97">
        <w:rPr>
          <w:sz w:val="22"/>
          <w:szCs w:val="22"/>
          <w:lang w:val="en-GB"/>
        </w:rPr>
        <w:t xml:space="preserve">the conversion to EUR shall be made in accordance with the </w:t>
      </w:r>
      <w:proofErr w:type="spellStart"/>
      <w:r w:rsidRPr="00C46B97">
        <w:rPr>
          <w:sz w:val="22"/>
          <w:szCs w:val="22"/>
          <w:lang w:val="en-GB"/>
        </w:rPr>
        <w:t>InforEuro</w:t>
      </w:r>
      <w:proofErr w:type="spellEnd"/>
      <w:r w:rsidRPr="00C46B97">
        <w:rPr>
          <w:sz w:val="22"/>
          <w:szCs w:val="22"/>
          <w:lang w:val="en-GB"/>
        </w:rPr>
        <w:t xml:space="preserve"> exchange rate of &lt;</w:t>
      </w:r>
      <w:r w:rsidR="00C46B97" w:rsidRPr="00C46B97">
        <w:rPr>
          <w:b/>
          <w:sz w:val="22"/>
          <w:szCs w:val="22"/>
          <w:lang w:val="en-GB"/>
        </w:rPr>
        <w:t>October 2019</w:t>
      </w:r>
      <w:r w:rsidRPr="00C46B97">
        <w:rPr>
          <w:b/>
          <w:sz w:val="22"/>
          <w:szCs w:val="22"/>
          <w:lang w:val="en-GB"/>
        </w:rPr>
        <w:t xml:space="preserve">&gt; </w:t>
      </w:r>
      <w:r w:rsidRPr="00C46B97">
        <w:rPr>
          <w:sz w:val="22"/>
          <w:szCs w:val="22"/>
          <w:lang w:val="en-GB"/>
        </w:rPr>
        <w:t xml:space="preserve">of the applicable </w:t>
      </w:r>
      <w:proofErr w:type="spellStart"/>
      <w:r w:rsidRPr="00C46B97">
        <w:rPr>
          <w:sz w:val="22"/>
          <w:szCs w:val="22"/>
          <w:lang w:val="en-GB"/>
        </w:rPr>
        <w:t>InforEuro</w:t>
      </w:r>
      <w:proofErr w:type="spellEnd"/>
      <w:r w:rsidRPr="00C46B97">
        <w:rPr>
          <w:sz w:val="22"/>
          <w:szCs w:val="22"/>
          <w:lang w:val="en-GB"/>
        </w:rPr>
        <w:t xml:space="preserve"> exchange rate, which correspond to the month and year of the publication of the present contract,</w:t>
      </w:r>
      <w:r w:rsidRPr="00B3128F">
        <w:rPr>
          <w:sz w:val="22"/>
          <w:szCs w:val="22"/>
          <w:lang w:val="en-GB"/>
        </w:rPr>
        <w:t xml:space="preserve"> which can be found at the following address: </w:t>
      </w:r>
      <w:hyperlink r:id="rId11" w:history="1">
        <w:r w:rsidRPr="00B3128F">
          <w:rPr>
            <w:rStyle w:val="Hyperlink"/>
            <w:sz w:val="22"/>
            <w:szCs w:val="22"/>
            <w:lang w:val="en-GB"/>
          </w:rPr>
          <w:t>http://ec.europa.eu/budget/graphs/inforeuro.html</w:t>
        </w:r>
      </w:hyperlink>
      <w:r w:rsidRPr="00B3128F">
        <w:rPr>
          <w:sz w:val="22"/>
          <w:szCs w:val="22"/>
          <w:lang w:val="en-GB"/>
        </w:rPr>
        <w:t>.</w:t>
      </w:r>
    </w:p>
    <w:p w14:paraId="15C63023" w14:textId="77777777" w:rsidR="00886BAC" w:rsidRPr="00060BBE" w:rsidRDefault="00886BAC" w:rsidP="00AC2A69">
      <w:pPr>
        <w:tabs>
          <w:tab w:val="num" w:pos="284"/>
        </w:tabs>
        <w:ind w:left="720" w:right="1"/>
        <w:rPr>
          <w:sz w:val="22"/>
          <w:szCs w:val="22"/>
          <w:lang w:val="en-GB"/>
        </w:rPr>
      </w:pPr>
    </w:p>
    <w:sectPr w:rsidR="00886BAC" w:rsidRPr="00060BBE" w:rsidSect="00B41887">
      <w:footerReference w:type="even" r:id="rId12"/>
      <w:footerReference w:type="default" r:id="rId13"/>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21761" w14:textId="77777777" w:rsidR="00811C15" w:rsidRDefault="00811C15">
      <w:r>
        <w:separator/>
      </w:r>
    </w:p>
  </w:endnote>
  <w:endnote w:type="continuationSeparator" w:id="0">
    <w:p w14:paraId="26C45792" w14:textId="77777777" w:rsidR="00811C15" w:rsidRDefault="00811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10CBE"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7A277B7" w14:textId="77777777"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B9D53" w14:textId="77777777"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570007">
      <w:rPr>
        <w:b/>
        <w:sz w:val="18"/>
        <w:szCs w:val="18"/>
        <w:lang w:val="en-GB"/>
      </w:rPr>
      <w:t xml:space="preserve"> </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570007">
      <w:rPr>
        <w:noProof/>
        <w:sz w:val="18"/>
        <w:szCs w:val="18"/>
        <w:lang w:val="en-GB"/>
      </w:rPr>
      <w:t>1</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570007">
      <w:rPr>
        <w:noProof/>
        <w:sz w:val="18"/>
        <w:szCs w:val="18"/>
        <w:lang w:val="en-GB"/>
      </w:rPr>
      <w:t>5</w:t>
    </w:r>
    <w:r w:rsidR="00E1322F" w:rsidRPr="00D30AC2">
      <w:rPr>
        <w:sz w:val="18"/>
        <w:szCs w:val="18"/>
        <w:lang w:val="fr-BE"/>
      </w:rPr>
      <w:fldChar w:fldCharType="end"/>
    </w:r>
  </w:p>
  <w:p w14:paraId="276F84E5" w14:textId="77777777" w:rsidR="00E1322F" w:rsidRPr="00570007" w:rsidRDefault="00E1322F" w:rsidP="00570007">
    <w:pPr>
      <w:pStyle w:val="Blockquote"/>
      <w:tabs>
        <w:tab w:val="left" w:pos="709"/>
      </w:tabs>
      <w:ind w:left="0"/>
      <w:rPr>
        <w:sz w:val="22"/>
        <w:szCs w:val="22"/>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r w:rsidR="00570007">
      <w:rPr>
        <w:sz w:val="18"/>
        <w:szCs w:val="18"/>
        <w:lang w:val="fr-BE"/>
      </w:rPr>
      <w:t xml:space="preserve">, </w:t>
    </w:r>
    <w:r w:rsidR="00570007" w:rsidRPr="00570007">
      <w:rPr>
        <w:noProof/>
        <w:sz w:val="18"/>
        <w:szCs w:val="18"/>
        <w:lang w:val="en-GB"/>
      </w:rPr>
      <w:t>HUSRB/1602/41/0172-2/2018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DF351" w14:textId="77777777" w:rsidR="00811C15" w:rsidRDefault="00811C15" w:rsidP="00BC3FD0">
      <w:pPr>
        <w:spacing w:before="0" w:after="0"/>
      </w:pPr>
      <w:r>
        <w:separator/>
      </w:r>
    </w:p>
  </w:footnote>
  <w:footnote w:type="continuationSeparator" w:id="0">
    <w:p w14:paraId="41AF4069" w14:textId="77777777" w:rsidR="00811C15" w:rsidRDefault="00811C15">
      <w:r>
        <w:continuationSeparator/>
      </w:r>
    </w:p>
  </w:footnote>
  <w:footnote w:id="1">
    <w:p w14:paraId="66595B7E" w14:textId="77777777" w:rsidR="0023457E" w:rsidRPr="00B50F3D" w:rsidRDefault="0023457E"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0D17DE06" w14:textId="77777777" w:rsidR="000E3C60" w:rsidRPr="000F28BC" w:rsidRDefault="000E3C60" w:rsidP="00BC3FD0">
      <w:pPr>
        <w:pStyle w:val="FootnoteText"/>
        <w:rPr>
          <w:lang w:val="en-GB"/>
        </w:rPr>
      </w:pPr>
      <w:r>
        <w:rPr>
          <w:rStyle w:val="FootnoteReference"/>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8"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38"/>
  </w:num>
  <w:num w:numId="37">
    <w:abstractNumId w:val="32"/>
  </w:num>
  <w:num w:numId="38">
    <w:abstractNumId w:val="35"/>
  </w:num>
  <w:num w:numId="39">
    <w:abstractNumId w:val="37"/>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3C13"/>
    <w:rsid w:val="00065477"/>
    <w:rsid w:val="0006756B"/>
    <w:rsid w:val="00067B8A"/>
    <w:rsid w:val="00071260"/>
    <w:rsid w:val="0007206C"/>
    <w:rsid w:val="000739E4"/>
    <w:rsid w:val="00093192"/>
    <w:rsid w:val="000A7591"/>
    <w:rsid w:val="000B39AD"/>
    <w:rsid w:val="000B3E45"/>
    <w:rsid w:val="000B6767"/>
    <w:rsid w:val="000B76C2"/>
    <w:rsid w:val="000C114A"/>
    <w:rsid w:val="000D1202"/>
    <w:rsid w:val="000D33A8"/>
    <w:rsid w:val="000D53D0"/>
    <w:rsid w:val="000E3C60"/>
    <w:rsid w:val="000E6F0A"/>
    <w:rsid w:val="000E7EBB"/>
    <w:rsid w:val="000F2109"/>
    <w:rsid w:val="000F28BC"/>
    <w:rsid w:val="000F7479"/>
    <w:rsid w:val="0010079C"/>
    <w:rsid w:val="001113A9"/>
    <w:rsid w:val="00111B24"/>
    <w:rsid w:val="00113516"/>
    <w:rsid w:val="00113EC8"/>
    <w:rsid w:val="001209A2"/>
    <w:rsid w:val="0012104D"/>
    <w:rsid w:val="00131A8C"/>
    <w:rsid w:val="0013395D"/>
    <w:rsid w:val="00140C26"/>
    <w:rsid w:val="0014779C"/>
    <w:rsid w:val="00163046"/>
    <w:rsid w:val="001701F6"/>
    <w:rsid w:val="001709FB"/>
    <w:rsid w:val="00172F51"/>
    <w:rsid w:val="001738C1"/>
    <w:rsid w:val="0018409D"/>
    <w:rsid w:val="00196D65"/>
    <w:rsid w:val="00197522"/>
    <w:rsid w:val="001A625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2712"/>
    <w:rsid w:val="00293121"/>
    <w:rsid w:val="002A5E19"/>
    <w:rsid w:val="002B09FA"/>
    <w:rsid w:val="002B405E"/>
    <w:rsid w:val="002C1960"/>
    <w:rsid w:val="002C6607"/>
    <w:rsid w:val="002C7F71"/>
    <w:rsid w:val="002D3376"/>
    <w:rsid w:val="002E3C0E"/>
    <w:rsid w:val="002F2BB0"/>
    <w:rsid w:val="002F2E08"/>
    <w:rsid w:val="00313A1E"/>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43B3B"/>
    <w:rsid w:val="00450F3C"/>
    <w:rsid w:val="00451F96"/>
    <w:rsid w:val="00454F08"/>
    <w:rsid w:val="0046639B"/>
    <w:rsid w:val="004668A3"/>
    <w:rsid w:val="004875CA"/>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0007"/>
    <w:rsid w:val="00570442"/>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0F0F"/>
    <w:rsid w:val="005F1DFB"/>
    <w:rsid w:val="005F452A"/>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67B42"/>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E55DB"/>
    <w:rsid w:val="006F5E74"/>
    <w:rsid w:val="007028AF"/>
    <w:rsid w:val="00714208"/>
    <w:rsid w:val="0071429C"/>
    <w:rsid w:val="00714F6E"/>
    <w:rsid w:val="00730739"/>
    <w:rsid w:val="00733C1A"/>
    <w:rsid w:val="0073646F"/>
    <w:rsid w:val="00744CD3"/>
    <w:rsid w:val="00746B08"/>
    <w:rsid w:val="0075026D"/>
    <w:rsid w:val="007541EA"/>
    <w:rsid w:val="007563B1"/>
    <w:rsid w:val="007611B2"/>
    <w:rsid w:val="00764DF1"/>
    <w:rsid w:val="00767F05"/>
    <w:rsid w:val="007825B0"/>
    <w:rsid w:val="00786193"/>
    <w:rsid w:val="00787C1D"/>
    <w:rsid w:val="00787CE3"/>
    <w:rsid w:val="007A042A"/>
    <w:rsid w:val="007A0CBF"/>
    <w:rsid w:val="007A60DB"/>
    <w:rsid w:val="007A7E50"/>
    <w:rsid w:val="007C0451"/>
    <w:rsid w:val="007D286E"/>
    <w:rsid w:val="007E0F9E"/>
    <w:rsid w:val="007F1B5E"/>
    <w:rsid w:val="007F61B8"/>
    <w:rsid w:val="0080433E"/>
    <w:rsid w:val="00811C15"/>
    <w:rsid w:val="00817C91"/>
    <w:rsid w:val="00820358"/>
    <w:rsid w:val="00826197"/>
    <w:rsid w:val="00827AA3"/>
    <w:rsid w:val="008365DC"/>
    <w:rsid w:val="008418D4"/>
    <w:rsid w:val="00843337"/>
    <w:rsid w:val="008435D9"/>
    <w:rsid w:val="00852E20"/>
    <w:rsid w:val="0085326D"/>
    <w:rsid w:val="008546F8"/>
    <w:rsid w:val="00855006"/>
    <w:rsid w:val="00865889"/>
    <w:rsid w:val="00876727"/>
    <w:rsid w:val="008835B2"/>
    <w:rsid w:val="00885ACA"/>
    <w:rsid w:val="00886BAC"/>
    <w:rsid w:val="00886DC3"/>
    <w:rsid w:val="00886EFB"/>
    <w:rsid w:val="0088725C"/>
    <w:rsid w:val="008A3391"/>
    <w:rsid w:val="008A6648"/>
    <w:rsid w:val="008C2237"/>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52FB"/>
    <w:rsid w:val="0094368C"/>
    <w:rsid w:val="009468F1"/>
    <w:rsid w:val="00960FA5"/>
    <w:rsid w:val="009625F2"/>
    <w:rsid w:val="00963642"/>
    <w:rsid w:val="00973479"/>
    <w:rsid w:val="00973B7C"/>
    <w:rsid w:val="00986590"/>
    <w:rsid w:val="0099352D"/>
    <w:rsid w:val="0099467D"/>
    <w:rsid w:val="009947F3"/>
    <w:rsid w:val="009A347C"/>
    <w:rsid w:val="009B0BBA"/>
    <w:rsid w:val="009B10AE"/>
    <w:rsid w:val="009B76B5"/>
    <w:rsid w:val="009C2BB8"/>
    <w:rsid w:val="009C4058"/>
    <w:rsid w:val="009D4A1D"/>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0736"/>
    <w:rsid w:val="00AE70EF"/>
    <w:rsid w:val="00AF2880"/>
    <w:rsid w:val="00AF2BF3"/>
    <w:rsid w:val="00AF346B"/>
    <w:rsid w:val="00AF3A84"/>
    <w:rsid w:val="00AF3DC9"/>
    <w:rsid w:val="00AF46E5"/>
    <w:rsid w:val="00AF6892"/>
    <w:rsid w:val="00B11901"/>
    <w:rsid w:val="00B27FCF"/>
    <w:rsid w:val="00B30176"/>
    <w:rsid w:val="00B3128F"/>
    <w:rsid w:val="00B34EFF"/>
    <w:rsid w:val="00B35CD5"/>
    <w:rsid w:val="00B41887"/>
    <w:rsid w:val="00B441CA"/>
    <w:rsid w:val="00B44610"/>
    <w:rsid w:val="00B744CC"/>
    <w:rsid w:val="00B85132"/>
    <w:rsid w:val="00B90DAE"/>
    <w:rsid w:val="00B93058"/>
    <w:rsid w:val="00BA59E6"/>
    <w:rsid w:val="00BB00EF"/>
    <w:rsid w:val="00BB035D"/>
    <w:rsid w:val="00BC3573"/>
    <w:rsid w:val="00BC3FD0"/>
    <w:rsid w:val="00BC728E"/>
    <w:rsid w:val="00BD5CA9"/>
    <w:rsid w:val="00BD703A"/>
    <w:rsid w:val="00BF1F2C"/>
    <w:rsid w:val="00BF3D97"/>
    <w:rsid w:val="00BF48A9"/>
    <w:rsid w:val="00C06A10"/>
    <w:rsid w:val="00C1014F"/>
    <w:rsid w:val="00C17FF8"/>
    <w:rsid w:val="00C208E4"/>
    <w:rsid w:val="00C324B2"/>
    <w:rsid w:val="00C418C2"/>
    <w:rsid w:val="00C46B97"/>
    <w:rsid w:val="00C5100C"/>
    <w:rsid w:val="00C65475"/>
    <w:rsid w:val="00C66742"/>
    <w:rsid w:val="00C7157B"/>
    <w:rsid w:val="00C82BDF"/>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38B"/>
    <w:rsid w:val="00CF0364"/>
    <w:rsid w:val="00CF2211"/>
    <w:rsid w:val="00CF76D7"/>
    <w:rsid w:val="00CF7DFD"/>
    <w:rsid w:val="00D04FC6"/>
    <w:rsid w:val="00D079E8"/>
    <w:rsid w:val="00D15690"/>
    <w:rsid w:val="00D172B1"/>
    <w:rsid w:val="00D22081"/>
    <w:rsid w:val="00D26DAE"/>
    <w:rsid w:val="00D27C2B"/>
    <w:rsid w:val="00D30AC7"/>
    <w:rsid w:val="00D319D8"/>
    <w:rsid w:val="00D31DE7"/>
    <w:rsid w:val="00D3230A"/>
    <w:rsid w:val="00D35165"/>
    <w:rsid w:val="00D35817"/>
    <w:rsid w:val="00D366CE"/>
    <w:rsid w:val="00D417CC"/>
    <w:rsid w:val="00D4238C"/>
    <w:rsid w:val="00D43514"/>
    <w:rsid w:val="00D46BFA"/>
    <w:rsid w:val="00D51F88"/>
    <w:rsid w:val="00D52B39"/>
    <w:rsid w:val="00D53FDB"/>
    <w:rsid w:val="00D60274"/>
    <w:rsid w:val="00D602A8"/>
    <w:rsid w:val="00D63B22"/>
    <w:rsid w:val="00D64634"/>
    <w:rsid w:val="00D70228"/>
    <w:rsid w:val="00D70F09"/>
    <w:rsid w:val="00D74BBC"/>
    <w:rsid w:val="00D77188"/>
    <w:rsid w:val="00D77E43"/>
    <w:rsid w:val="00D934F1"/>
    <w:rsid w:val="00D93D75"/>
    <w:rsid w:val="00D967AD"/>
    <w:rsid w:val="00DA59B2"/>
    <w:rsid w:val="00DA7338"/>
    <w:rsid w:val="00DB1A9D"/>
    <w:rsid w:val="00DB4E31"/>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546E"/>
    <w:rsid w:val="00E21A00"/>
    <w:rsid w:val="00E23824"/>
    <w:rsid w:val="00E26B57"/>
    <w:rsid w:val="00E444F6"/>
    <w:rsid w:val="00E50CB0"/>
    <w:rsid w:val="00E524DE"/>
    <w:rsid w:val="00E575D1"/>
    <w:rsid w:val="00E7122D"/>
    <w:rsid w:val="00E7126E"/>
    <w:rsid w:val="00E7201E"/>
    <w:rsid w:val="00E927E5"/>
    <w:rsid w:val="00E927F4"/>
    <w:rsid w:val="00E970A5"/>
    <w:rsid w:val="00EA36E6"/>
    <w:rsid w:val="00EA5A37"/>
    <w:rsid w:val="00EA6D5D"/>
    <w:rsid w:val="00EB053C"/>
    <w:rsid w:val="00EB1D7F"/>
    <w:rsid w:val="00EB20E2"/>
    <w:rsid w:val="00EB3EA6"/>
    <w:rsid w:val="00ED1ED4"/>
    <w:rsid w:val="00ED6577"/>
    <w:rsid w:val="00ED7F16"/>
    <w:rsid w:val="00EE4998"/>
    <w:rsid w:val="00F01EEE"/>
    <w:rsid w:val="00F026D2"/>
    <w:rsid w:val="00F041AF"/>
    <w:rsid w:val="00F04931"/>
    <w:rsid w:val="00F07EBC"/>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615E"/>
    <w:rsid w:val="00F77B1F"/>
    <w:rsid w:val="00F83B91"/>
    <w:rsid w:val="00F84F64"/>
    <w:rsid w:val="00F92453"/>
    <w:rsid w:val="00F93C3A"/>
    <w:rsid w:val="00F964EE"/>
    <w:rsid w:val="00FA1819"/>
    <w:rsid w:val="00FB21DC"/>
    <w:rsid w:val="00FB26F3"/>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8AFD2E"/>
  <w15:docId w15:val="{824A7DCA-6ED6-4B60-8387-0D0EFA20E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uropeaid/online-services/index.cfm?do=publi.welco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ebgate.ec.europa.eu/europeaid/online-services/index.cfm?do=publi.welcome" TargetMode="External"/><Relationship Id="rId4" Type="http://schemas.openxmlformats.org/officeDocument/2006/relationships/settings" Target="settings.xml"/><Relationship Id="rId9" Type="http://schemas.openxmlformats.org/officeDocument/2006/relationships/hyperlink" Target="mailto:info@centar.edu.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EE346-10D2-4827-8362-C5E5EE2C0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1922</Words>
  <Characters>10956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12853</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BOURDILLEAU Anne (DEVCO)</dc:creator>
  <cp:lastModifiedBy>sasa</cp:lastModifiedBy>
  <cp:revision>3</cp:revision>
  <cp:lastPrinted>2012-09-24T08:29:00Z</cp:lastPrinted>
  <dcterms:created xsi:type="dcterms:W3CDTF">2019-10-24T16:25:00Z</dcterms:created>
  <dcterms:modified xsi:type="dcterms:W3CDTF">2019-10-28T11:06:00Z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